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46" w:beforeAutospacing="0" w:after="60" w:afterAutospacing="0"/>
        <w:ind w:left="0" w:right="0"/>
        <w:jc w:val="center"/>
        <w:rPr>
          <w:rFonts w:ascii="微软雅黑" w:hAnsi="微软雅黑" w:eastAsia="微软雅黑" w:cs="微软雅黑"/>
          <w:color w:val="45423F"/>
          <w:sz w:val="51"/>
          <w:szCs w:val="5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23F"/>
          <w:spacing w:val="0"/>
          <w:sz w:val="51"/>
          <w:szCs w:val="51"/>
        </w:rPr>
        <w:t>拟对建设项目环境影响评价文件作出审批意见的公示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275"/>
        <w:gridCol w:w="1305"/>
        <w:gridCol w:w="1275"/>
        <w:gridCol w:w="1815"/>
        <w:gridCol w:w="2010"/>
        <w:gridCol w:w="5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项目名称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建设地点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建设单位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环评编制单位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建设项目概况</w:t>
            </w:r>
          </w:p>
        </w:tc>
        <w:tc>
          <w:tcPr>
            <w:tcW w:w="5759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黑体" w:hAnsi="黑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 w:bidi="ar"/>
              </w:rPr>
              <w:t>主要环境影响及预防或者减轻不良环境影响的对策和措施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  <w:t>河曲县华通塑料制品有限公司新建PE管生产线项目</w:t>
            </w:r>
          </w:p>
        </w:tc>
        <w:tc>
          <w:tcPr>
            <w:tcW w:w="130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河曲县文笔镇蚰蜒峁村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河曲县华通塑料制品有限公司</w:t>
            </w:r>
          </w:p>
        </w:tc>
        <w:tc>
          <w:tcPr>
            <w:tcW w:w="1815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江苏虹善工程科技有限公司</w:t>
            </w:r>
          </w:p>
        </w:tc>
        <w:tc>
          <w:tcPr>
            <w:tcW w:w="201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占地面积3300m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，总建筑面积m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。建筑设施主要包括生产车间、办公楼（二层）、材料库以及成品库等。新建PE管材生产线3条，年生产PE管材1000 t</w:t>
            </w:r>
          </w:p>
        </w:tc>
        <w:tc>
          <w:tcPr>
            <w:tcW w:w="5759" w:type="dxa"/>
          </w:tcPr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、落实大气污染防治措施。PE管生产线有机废气（非甲烷总烃）经集气罩收集后通过一套“UV光催化氧化+活性炭吸附”装置处理（综合处理效率91%），由1根15m高排气筒排放。废气排放满足《合成树脂工业污染物排放标准》（GB31572-2015）中表5特别排放限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bCs/>
                <w:snapToGrid w:val="0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2、落实水环境保护措施。生活污水排入厂区旱厕后，定期清掏用作农肥，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不得外排。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落实噪声污染防治措施。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主要噪声源为挤压机、切割机等设备产生的设备噪声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，产噪设备经基础减震、隔声、消声降噪等设施处理后，噪声能够达到《工业企业厂界环境噪声排放标准》（GB12348-2008）中2类标准要求。</w:t>
            </w:r>
          </w:p>
          <w:p>
            <w:pPr>
              <w:widowControl w:val="0"/>
              <w:wordWrap/>
              <w:adjustRightInd/>
              <w:snapToGrid/>
              <w:spacing w:line="560" w:lineRule="exact"/>
              <w:ind w:left="0" w:leftChars="0" w:right="0" w:firstLine="480" w:firstLineChars="200"/>
              <w:jc w:val="left"/>
              <w:textAlignment w:val="top"/>
              <w:outlineLvl w:val="9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做好固体废弃物的处置和综合利用。废边角料、残次品，集中收集后定期出售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；油厂区设置封闭式垃圾箱集中收集职工产生的生活垃圾，定期运往环卫部门指定地点处置。废活性炭在危废暂存间暂存后定期交由有资质单位处理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154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听证权利告知：依据《中华人民共和国行政许可法》，自公示起五日内申请人、利害关系人可提出听证申请。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公众反馈意见联系电话：河曲县行政审批服务管理局    0350-7222168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435" w:type="dxa"/>
            <w:tcBorders>
              <w:top w:val="single" w:color="DCDCDC" w:sz="6" w:space="0"/>
              <w:left w:val="single" w:color="DCDCDC" w:sz="6" w:space="0"/>
              <w:bottom w:val="single" w:color="DCDCDC" w:sz="2" w:space="0"/>
              <w:right w:val="single" w:color="DCDCDC" w:sz="2" w:space="0"/>
            </w:tcBorders>
            <w:shd w:val="clear" w:color="auto" w:fill="auto"/>
            <w:tcMar>
              <w:lef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公示时间：2020年6月22日-2020年6月29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07368"/>
    <w:rsid w:val="22487869"/>
    <w:rsid w:val="415D3E68"/>
    <w:rsid w:val="65C85647"/>
    <w:rsid w:val="709E570C"/>
    <w:rsid w:val="7C45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2020-06-13T02:48:00Z</dcterms:created>
  <dc:creator>Administrator</dc:creator>
  <cp:lastModifiedBy>Administrator</cp:lastModifiedBy>
  <dcterms:modified xsi:type="dcterms:W3CDTF">2020-06-22T08:06:56Z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