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 w:hAnsi="仿宋" w:eastAsia="仿宋" w:cs="仿宋"/>
          <w:b/>
          <w:bCs/>
          <w:sz w:val="40"/>
          <w:szCs w:val="40"/>
        </w:rPr>
      </w:pPr>
      <w:r>
        <w:rPr>
          <w:rFonts w:hint="eastAsia" w:ascii="仿宋" w:hAnsi="仿宋" w:eastAsia="仿宋" w:cs="仿宋"/>
          <w:b/>
          <w:bCs/>
          <w:sz w:val="40"/>
          <w:szCs w:val="40"/>
          <w:lang w:val="en-US" w:eastAsia="zh-CN"/>
        </w:rPr>
        <w:t>杂粮杂豆精深加工</w:t>
      </w:r>
      <w:r>
        <w:rPr>
          <w:rFonts w:hint="eastAsia" w:ascii="仿宋" w:hAnsi="仿宋" w:eastAsia="仿宋" w:cs="仿宋"/>
          <w:b/>
          <w:bCs/>
          <w:sz w:val="40"/>
          <w:szCs w:val="40"/>
        </w:rPr>
        <w:t>项目简介</w:t>
      </w:r>
    </w:p>
    <w:p>
      <w:pPr>
        <w:spacing w:line="540" w:lineRule="exact"/>
        <w:ind w:firstLine="562" w:firstLineChars="200"/>
        <w:rPr>
          <w:rFonts w:hint="eastAsia" w:ascii="仿宋_GB2312" w:hAnsi="仿宋" w:eastAsia="仿宋_GB2312" w:cs="仿宋"/>
          <w:b/>
          <w:bCs/>
          <w:sz w:val="28"/>
          <w:szCs w:val="28"/>
          <w:lang w:eastAsia="zh-CN"/>
        </w:rPr>
      </w:pPr>
      <w:r>
        <w:rPr>
          <w:rFonts w:hint="eastAsia" w:ascii="仿宋_GB2312" w:hAnsi="仿宋" w:eastAsia="仿宋_GB2312" w:cs="仿宋"/>
          <w:b/>
          <w:bCs/>
          <w:sz w:val="28"/>
          <w:szCs w:val="28"/>
        </w:rPr>
        <w:t>一、项目名称</w:t>
      </w:r>
      <w:r>
        <w:rPr>
          <w:rFonts w:hint="eastAsia" w:ascii="仿宋_GB2312" w:hAnsi="仿宋" w:eastAsia="仿宋_GB2312" w:cs="仿宋"/>
          <w:b/>
          <w:bCs/>
          <w:sz w:val="28"/>
          <w:szCs w:val="28"/>
          <w:lang w:eastAsia="zh-CN"/>
        </w:rPr>
        <w:t>：</w:t>
      </w:r>
      <w:r>
        <w:rPr>
          <w:rFonts w:hint="eastAsia" w:ascii="仿宋_GB2312" w:hAnsi="仿宋" w:eastAsia="仿宋_GB2312" w:cs="仿宋"/>
          <w:b w:val="0"/>
          <w:bCs w:val="0"/>
          <w:sz w:val="28"/>
          <w:szCs w:val="28"/>
          <w:lang w:eastAsia="zh-CN"/>
        </w:rPr>
        <w:t>杂粮杂豆精深加工项目</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二、招商单位基本情况</w:t>
      </w:r>
    </w:p>
    <w:p>
      <w:pPr>
        <w:spacing w:line="540" w:lineRule="exact"/>
        <w:ind w:firstLine="560" w:firstLineChars="200"/>
        <w:rPr>
          <w:rFonts w:hint="default" w:ascii="仿宋_GB2312" w:hAnsi="仿宋" w:eastAsia="仿宋_GB2312" w:cs="仿宋"/>
          <w:sz w:val="28"/>
          <w:szCs w:val="28"/>
          <w:lang w:val="en-US"/>
        </w:rPr>
      </w:pPr>
      <w:r>
        <w:rPr>
          <w:rFonts w:hint="eastAsia" w:ascii="仿宋_GB2312" w:hAnsi="仿宋" w:eastAsia="仿宋_GB2312" w:cs="仿宋"/>
          <w:sz w:val="28"/>
          <w:szCs w:val="28"/>
        </w:rPr>
        <w:t>（一）单位名称</w:t>
      </w:r>
      <w:r>
        <w:rPr>
          <w:rFonts w:hint="eastAsia" w:ascii="仿宋_GB2312" w:hAnsi="仿宋" w:eastAsia="仿宋_GB2312" w:cs="仿宋"/>
          <w:sz w:val="28"/>
          <w:szCs w:val="28"/>
          <w:lang w:eastAsia="zh-CN"/>
        </w:rPr>
        <w:t>：河曲县</w:t>
      </w:r>
      <w:r>
        <w:rPr>
          <w:rFonts w:hint="eastAsia" w:ascii="仿宋_GB2312" w:hAnsi="仿宋" w:eastAsia="仿宋_GB2312" w:cs="仿宋"/>
          <w:sz w:val="28"/>
          <w:szCs w:val="28"/>
          <w:lang w:val="en-US" w:eastAsia="zh-CN"/>
        </w:rPr>
        <w:t>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二</w:t>
      </w:r>
      <w:r>
        <w:rPr>
          <w:rFonts w:hint="eastAsia" w:ascii="仿宋_GB2312" w:hAnsi="仿宋" w:eastAsia="仿宋_GB2312" w:cs="仿宋"/>
          <w:sz w:val="28"/>
          <w:szCs w:val="28"/>
        </w:rPr>
        <w:t>）单位地址</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山西省忻州市河曲县</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三）单位简介：河曲县位于晋西北黄土高原，地处晋陕蒙能源金三角的中心地带，与陕西省榆林市和内蒙古自治区鄂尔多斯市隔黄河相望，素有“鸡鸣三省”之称。全县总面积1317平方公里，辖4镇9乡，总人口14.7万，农业人口11.99万。近年来，县委政府全力推行“1266”工作思路，紧紧围绕实现全面深化改革，加快转型升级，决胜全面小康进而建成晋陕蒙黄河金三角区经济文化中心这一“奋斗目标”，构建能源革命排头兵和黄河长城特色风情名县“两大支撑”，突出创新发展、协调发展、绿色发展、开放发展、共享发展和党的建设“六个抓手”，全力抓好转型综改、脱贫攻坚、项目建设、民生改善、乡村振兴、美丽河曲“六个重点”。县域面貌焕然一新、城市品质独具魅力；基础设施完善、服务功能齐全、工业体系健全、经济持续发展、连续多年被评为“山西省县域经济发展先进县”、被国家授予“国家卫生县城”、“省级园林县城”。这个美丽的黄河湾已成为宜居的半岛城。</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三、申报方向</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项目所在的行业类别，以及所处产业链位置</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该项目属于现代农业行业。</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四、项目市场前景</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 xml:space="preserve">杂粮杂豆通常是指水稻、小麦、玉米、大豆和薯类五大作物以外的粮豆作物，主要有：高粱、谷子、荞麦、燕麦、大麦、糜子、黍子、薏仁、籽粒苋以及菜豆（芸豆）、绿豆、小豆、蚕豆、豌豆、豇豆、小扁豆、黑豆等。其特点是生长期短、种植面积少、种植地区特殊、产量较低，一般都含有丰富的营养成分。2000 多年前，我国先人智者已经总结出 “五谷为养，五谷养其病”，表明了五谷杂粮对人体健康及疾病的作用，现代大量的实验研究和人群膳食干预表明，杂粮食品对缓解慢性非传染性疾病的发生发展具有一定的作用，如粗杂粮干预有助于控制血压、降低血糖、改善血脂。 </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 xml:space="preserve">目前的杂粮加工可分为四大类型：一是原粮或经过简单分选、包装的初级加工品；二是传统风味小吃；三是方便食品；四是以高粱、大麦等杂粮为原料的酿造食品。杂粮富含对人体有益的营养成分，杂粮加工是把杂粮按其用途分别制成半成品或成品的生产过程。加工程度浅、层次少、产品与原料相比，理化性质、营养成分变化小的加工过程可称为初加工；加工程度深、层次多，经过若干道加工工序，原料的理化特性发生较大变化，营养成分分割很细，并按需要进行重新搭配，这种多层次的加工过程称为深加工。通过深加工可使杂粮产品实现增值。 </w:t>
      </w:r>
    </w:p>
    <w:p>
      <w:pPr>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近年来，随着生活水平的提高，国人的消费理念开始由“吃得饱”向“吃得好”转变，对改善膳食结构提出了新的需求。鉴于大米、白面等细粮过剩，杂粮杂豆因其富含人体所需的多种营养成分，具有较高的药用保健价值，越来越受消费者的青睐，成为粮食商品中的抢手货。而吉林杂粮杂豆，更是秉承打造“国人膳食营养仓”的理念，以其出众的品质，赢得了市场的认可。综上所述，本项目依托当地资源，市场前景乐观，有较好的可行性。</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五、项目基本情况</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（一）建设背景</w:t>
      </w:r>
      <w:r>
        <w:rPr>
          <w:rFonts w:hint="eastAsia" w:ascii="仿宋_GB2312" w:hAnsi="仿宋" w:eastAsia="仿宋_GB2312" w:cs="仿宋"/>
          <w:sz w:val="28"/>
          <w:szCs w:val="28"/>
          <w:lang w:eastAsia="zh-CN"/>
        </w:rPr>
        <w:t>：</w:t>
      </w:r>
      <w:r>
        <w:rPr>
          <w:rFonts w:hint="eastAsia" w:ascii="仿宋_GB2312" w:hAnsi="仿宋" w:eastAsia="仿宋_GB2312" w:cs="仿宋"/>
          <w:b w:val="0"/>
          <w:bCs w:val="0"/>
          <w:sz w:val="28"/>
          <w:szCs w:val="28"/>
        </w:rPr>
        <w:t>近年来，随着生活水平的提高，国人的消费理念开始由“吃得饱”向“吃得好”转变，对改善膳食结构提出了新的需求。鉴于大米、白面等细粮过剩，杂粮杂豆因其富含人体所需的多种营养成分，具有较高的药用保健价值，越来越受消费者的青睐，成为粮食商品中的抢手货。而吉林杂粮杂豆，更是秉承打造“国人膳食营养仓”的理念，以其出众的品质，赢得了市场的认可。</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（二）建设地点</w:t>
      </w:r>
      <w:r>
        <w:rPr>
          <w:rFonts w:hint="eastAsia" w:ascii="仿宋_GB2312" w:hAnsi="仿宋" w:eastAsia="仿宋_GB2312" w:cs="仿宋"/>
          <w:sz w:val="28"/>
          <w:szCs w:val="28"/>
          <w:lang w:eastAsia="zh-CN"/>
        </w:rPr>
        <w:t>：河曲县</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（三）建设内容及建设规模</w:t>
      </w:r>
      <w:r>
        <w:rPr>
          <w:rFonts w:hint="eastAsia" w:ascii="仿宋_GB2312" w:hAnsi="仿宋" w:eastAsia="仿宋_GB2312" w:cs="仿宋"/>
          <w:sz w:val="28"/>
          <w:szCs w:val="28"/>
          <w:lang w:eastAsia="zh-CN"/>
        </w:rPr>
        <w:t>：本项目计划年加工杂粮、杂豆10万吨，生产精制杂粮粉、杂粮粥饭、杂粮饮品和休闲食品等产品。建设年加工10万吨杂粮杂豆的生产线，并购买相应配套设施。</w:t>
      </w:r>
    </w:p>
    <w:p>
      <w:pPr>
        <w:ind w:firstLine="560" w:firstLineChars="200"/>
        <w:rPr>
          <w:rFonts w:hint="eastAsia" w:eastAsia="仿宋_GB2312"/>
          <w:lang w:eastAsia="zh-CN"/>
        </w:rPr>
      </w:pPr>
      <w:r>
        <w:rPr>
          <w:rFonts w:hint="eastAsia" w:ascii="仿宋_GB2312" w:hAnsi="仿宋" w:eastAsia="仿宋_GB2312" w:cs="仿宋"/>
          <w:sz w:val="28"/>
          <w:szCs w:val="28"/>
        </w:rPr>
        <w:t>（四）产品名称和类型</w:t>
      </w:r>
      <w:r>
        <w:rPr>
          <w:rFonts w:hint="eastAsia" w:ascii="仿宋_GB2312" w:hAnsi="仿宋" w:eastAsia="仿宋_GB2312" w:cs="仿宋"/>
          <w:sz w:val="28"/>
          <w:szCs w:val="28"/>
          <w:lang w:eastAsia="zh-CN"/>
        </w:rPr>
        <w:t>：杂粮粉、杂粮粥饭、杂粮饮品和休闲食品等产品。</w:t>
      </w:r>
    </w:p>
    <w:p>
      <w:pPr>
        <w:spacing w:line="540" w:lineRule="exact"/>
        <w:ind w:firstLine="560" w:firstLineChars="200"/>
        <w:rPr>
          <w:rFonts w:hint="default" w:ascii="仿宋_GB2312" w:hAnsi="仿宋" w:eastAsia="仿宋_GB2312" w:cs="仿宋"/>
          <w:sz w:val="28"/>
          <w:szCs w:val="28"/>
          <w:lang w:val="en-US"/>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五</w:t>
      </w:r>
      <w:r>
        <w:rPr>
          <w:rFonts w:hint="eastAsia" w:ascii="仿宋_GB2312" w:hAnsi="仿宋" w:eastAsia="仿宋_GB2312" w:cs="仿宋"/>
          <w:sz w:val="28"/>
          <w:szCs w:val="28"/>
        </w:rPr>
        <w:t>）项目总投资及资金来源</w:t>
      </w:r>
      <w:r>
        <w:rPr>
          <w:rFonts w:hint="eastAsia" w:ascii="仿宋_GB2312" w:hAnsi="仿宋" w:eastAsia="仿宋_GB2312" w:cs="仿宋"/>
          <w:sz w:val="28"/>
          <w:szCs w:val="28"/>
          <w:lang w:eastAsia="zh-CN"/>
        </w:rPr>
        <w:t>：投资金额</w:t>
      </w:r>
      <w:r>
        <w:rPr>
          <w:rFonts w:hint="eastAsia" w:ascii="仿宋_GB2312" w:hAnsi="仿宋" w:eastAsia="仿宋_GB2312" w:cs="仿宋"/>
          <w:sz w:val="28"/>
          <w:szCs w:val="28"/>
          <w:lang w:val="en-US" w:eastAsia="zh-CN"/>
        </w:rPr>
        <w:t>50000万</w:t>
      </w:r>
      <w:r>
        <w:rPr>
          <w:rFonts w:hint="eastAsia" w:ascii="仿宋_GB2312" w:hAnsi="仿宋" w:eastAsia="仿宋_GB2312" w:cs="仿宋"/>
          <w:sz w:val="28"/>
          <w:szCs w:val="28"/>
          <w:lang w:eastAsia="zh-CN"/>
        </w:rPr>
        <w:t>元，</w:t>
      </w:r>
      <w:r>
        <w:rPr>
          <w:rFonts w:hint="eastAsia" w:ascii="仿宋_GB2312" w:hAnsi="仿宋" w:eastAsia="仿宋_GB2312" w:cs="仿宋"/>
          <w:sz w:val="28"/>
          <w:szCs w:val="28"/>
          <w:lang w:val="en-US" w:eastAsia="zh-CN"/>
        </w:rPr>
        <w:t>项目资金企业自筹。</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六、项目优势分析</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（一）区位交通优势</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（二）资源优势</w:t>
      </w:r>
      <w:r>
        <w:rPr>
          <w:rFonts w:hint="eastAsia" w:ascii="仿宋_GB2312" w:hAnsi="仿宋" w:eastAsia="仿宋_GB2312" w:cs="仿宋"/>
          <w:sz w:val="28"/>
          <w:szCs w:val="28"/>
          <w:lang w:eastAsia="zh-CN"/>
        </w:rPr>
        <w:t>：河曲处于神府煤田、东胜煤田、河东煤田能源金三角中心地带,矿产资源、水资源尤为丰富.初步探明有相当储量的矿种共6类18种。其中煤储量120亿吨，分布面积400平方公里;铁矿储量15.6亿吨;石灰岩储量601亿吨,铝土矿储量1.79亿吨;火电、水电总装机容量422万千瓦;水资源年可利用量2.45亿吨,属水资源丰沛地区;独特的地理位置和</w:t>
      </w:r>
      <w:r>
        <w:rPr>
          <w:rFonts w:hint="eastAsia" w:ascii="仿宋_GB2312" w:hAnsi="仿宋" w:eastAsia="仿宋_GB2312" w:cs="仿宋"/>
          <w:sz w:val="28"/>
          <w:szCs w:val="28"/>
          <w:lang w:val="en-US" w:eastAsia="zh-CN"/>
        </w:rPr>
        <w:t>气候</w:t>
      </w:r>
      <w:r>
        <w:rPr>
          <w:rFonts w:hint="eastAsia" w:ascii="仿宋_GB2312" w:hAnsi="仿宋" w:eastAsia="仿宋_GB2312" w:cs="仿宋"/>
          <w:sz w:val="28"/>
          <w:szCs w:val="28"/>
          <w:lang w:eastAsia="zh-CN"/>
        </w:rPr>
        <w:t>条件,盛产优质的小杂粮、海红果、脱毒马铃薯等。</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（三）</w:t>
      </w:r>
      <w:r>
        <w:rPr>
          <w:rFonts w:hint="eastAsia" w:ascii="仿宋_GB2312" w:hAnsi="仿宋" w:eastAsia="仿宋_GB2312" w:cs="仿宋"/>
          <w:sz w:val="28"/>
          <w:szCs w:val="28"/>
          <w:lang w:val="en-US" w:eastAsia="zh-CN"/>
        </w:rPr>
        <w:t>人文</w:t>
      </w:r>
      <w:r>
        <w:rPr>
          <w:rFonts w:hint="eastAsia" w:ascii="仿宋_GB2312" w:hAnsi="仿宋" w:eastAsia="仿宋_GB2312" w:cs="仿宋"/>
          <w:sz w:val="28"/>
          <w:szCs w:val="28"/>
        </w:rPr>
        <w:t>优势</w:t>
      </w:r>
      <w:r>
        <w:rPr>
          <w:rFonts w:hint="eastAsia" w:ascii="仿宋_GB2312" w:hAnsi="仿宋" w:eastAsia="仿宋_GB2312" w:cs="仿宋"/>
          <w:sz w:val="28"/>
          <w:szCs w:val="28"/>
          <w:lang w:eastAsia="zh-CN"/>
        </w:rPr>
        <w:t>：河曲是</w:t>
      </w:r>
      <w:r>
        <w:rPr>
          <w:rFonts w:hint="eastAsia" w:ascii="仿宋_GB2312" w:hAnsi="仿宋" w:eastAsia="仿宋_GB2312" w:cs="仿宋"/>
          <w:sz w:val="28"/>
          <w:szCs w:val="28"/>
          <w:lang w:val="en-US" w:eastAsia="zh-CN"/>
        </w:rPr>
        <w:t>千里</w:t>
      </w:r>
      <w:r>
        <w:rPr>
          <w:rFonts w:hint="eastAsia" w:ascii="仿宋_GB2312" w:hAnsi="仿宋" w:eastAsia="仿宋_GB2312" w:cs="仿宋"/>
          <w:sz w:val="28"/>
          <w:szCs w:val="28"/>
          <w:lang w:eastAsia="zh-CN"/>
        </w:rPr>
        <w:t>黄河、万里长城“双龙相会”之地，草原文化与中原文化的交汇融合,孕育了河曲民歌、二人台、河灯会3项国家级非物质文化遗产,著名的二人台剧目《走西口》发源于这里,依傍黄河形成的国家二级旅游资源娘娘滩、古长城遗址等天然景观和文化古迹,可从不同的方位领略黄河多姿的风采，感受黄河浩瀚的魅力。历来民风淳朴,人杰地灵,是元曲四大家之—白朴和北宋杨家将的故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（四）</w:t>
      </w:r>
      <w:r>
        <w:rPr>
          <w:rFonts w:hint="eastAsia" w:ascii="仿宋_GB2312" w:hAnsi="仿宋" w:eastAsia="仿宋_GB2312" w:cs="仿宋"/>
          <w:sz w:val="28"/>
          <w:szCs w:val="28"/>
          <w:lang w:val="en-US" w:eastAsia="zh-CN"/>
        </w:rPr>
        <w:t>要素优势：涉及项目落地的水、暖、电、气、土地等生产要素价格便宜、配套齐全。1.电费（1）大工业用电：10kv，0.5082元；35kv，0.4782元；（2）直供电：交易价0.25-0.332元2.蒸汽：70元左右；3.天然气：2.75元/立方；4.水费（1）生活用水：3.08元/立方米（2）工业用水：2元/立方米；5.供暖（1）居民供暖：2元/平米/月（2）企业供暖：5.3元/平米/月；6.土地费用：工业用地费用平均在15-21万元/亩，重大项目一事一议、一企一策；7.劳动力成本：1500-3000元/人/月；8.物流成本：0.2-0.3元/吨</w:t>
      </w:r>
      <w:r>
        <w:rPr>
          <w:rFonts w:hint="eastAsia" w:ascii="仿宋_GB2312" w:hAnsi="仿宋_GB2312" w:eastAsia="仿宋_GB2312" w:cs="仿宋_GB2312"/>
          <w:sz w:val="28"/>
          <w:szCs w:val="28"/>
          <w:lang w:val="en-US" w:eastAsia="zh-CN"/>
        </w:rPr>
        <w:t>·</w:t>
      </w:r>
      <w:r>
        <w:rPr>
          <w:rFonts w:hint="eastAsia" w:ascii="仿宋_GB2312" w:hAnsi="仿宋" w:eastAsia="仿宋_GB2312" w:cs="仿宋"/>
          <w:sz w:val="28"/>
          <w:szCs w:val="28"/>
          <w:lang w:val="en-US" w:eastAsia="zh-CN"/>
        </w:rPr>
        <w:t>公里。</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七、项目的配套要素</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（一）项目周边交通情况</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（二）项目七通一平（道路、给水、电通、排水、热力、电信、燃气及土地平整）等配套设施建设情况</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项目七通一平等配套设施完善。土地直接挂牌出让，已建成11600平米标准化厂房。园区可为企业提供0.8MPa—1.2MPa的蒸汽（火电厂）。</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八、项目进展情况</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（一）项目建设进度</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正在筹备。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（二）项目前期手续办理情况：</w:t>
      </w: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符合国家、产业政策及山西省产业规划；符合国家土地政策及环保规定，经相关国土部门及环保部门初审认可。</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九、项目效益分析</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项目建成后，将促进相关产业升级，带动上下游产业发展，解决周边劳动力就业问题，增加当地财政税收，具有良好的经济效益和社会效益。</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十、招商目标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拟引资金</w:t>
      </w:r>
      <w:r>
        <w:rPr>
          <w:rFonts w:hint="eastAsia" w:ascii="仿宋_GB2312" w:hAnsi="仿宋" w:eastAsia="仿宋_GB2312" w:cs="仿宋"/>
          <w:sz w:val="28"/>
          <w:szCs w:val="28"/>
          <w:lang w:val="en-US" w:eastAsia="zh-CN"/>
        </w:rPr>
        <w:t>50000万元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合作方式</w:t>
      </w:r>
      <w:r>
        <w:rPr>
          <w:rFonts w:hint="eastAsia" w:ascii="仿宋_GB2312" w:hAnsi="仿宋" w:eastAsia="仿宋_GB2312" w:cs="仿宋"/>
          <w:sz w:val="28"/>
          <w:szCs w:val="28"/>
          <w:lang w:val="en-US" w:eastAsia="zh-CN"/>
        </w:rPr>
        <w:t>独资、合资均可</w:t>
      </w:r>
      <w:r>
        <w:rPr>
          <w:rFonts w:hint="eastAsia" w:ascii="仿宋_GB2312" w:hAnsi="仿宋" w:eastAsia="仿宋_GB2312" w:cs="仿宋"/>
          <w:sz w:val="28"/>
          <w:szCs w:val="28"/>
        </w:rPr>
        <w:t>。</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十一、招商引资优惠政策及服务措施</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1.项目可享受的优惠政策文件名称</w:t>
      </w:r>
      <w:r>
        <w:rPr>
          <w:rFonts w:hint="eastAsia" w:ascii="仿宋_GB2312" w:hAnsi="仿宋" w:eastAsia="仿宋_GB2312" w:cs="仿宋"/>
          <w:sz w:val="28"/>
          <w:szCs w:val="28"/>
          <w:lang w:eastAsia="zh-CN"/>
        </w:rPr>
        <w:t>：</w:t>
      </w:r>
    </w:p>
    <w:p>
      <w:pPr>
        <w:widowControl/>
        <w:spacing w:line="540" w:lineRule="exact"/>
        <w:ind w:firstLine="560" w:firstLineChars="200"/>
        <w:rPr>
          <w:rFonts w:hint="default"/>
          <w:lang w:val="en-US"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河曲县招商引资项目管理办法（试行）</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；《河曲县招商引资奖励办法》；《河曲县招商引资产业项目激励办法》。</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2.具体摘录、列举3-5条较为特色的优惠政策。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奖励标准：</w:t>
      </w:r>
      <w:r>
        <w:rPr>
          <w:rFonts w:hint="eastAsia" w:ascii="仿宋_GB2312" w:hAnsi="仿宋" w:eastAsia="仿宋_GB2312" w:cs="仿宋"/>
          <w:sz w:val="28"/>
          <w:szCs w:val="28"/>
        </w:rPr>
        <w:t>对投资额在人民币1000万元（含）以上的一产、三产类项目，投资额在人民币3000万元（含）以上的二产类项目和基础设施建设项目，均按实际形成的固定资产投资额的0.5%给予奖励，其中对国家产业政策扶持的高科技项目按实际到位投资额的0.6%给予奖励，奖金上限为人民币500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lang w:eastAsia="zh-CN"/>
        </w:rPr>
        <w:t>）科技人才创新创业扶持：鼓励科技人才创新创业，执行《忻州市人民政府关于认真做好推动创新创业高质量发展打造“双创”</w:t>
      </w:r>
      <w:r>
        <w:rPr>
          <w:rFonts w:hint="eastAsia" w:ascii="仿宋_GB2312" w:hAnsi="仿宋" w:eastAsia="仿宋_GB2312" w:cs="仿宋"/>
          <w:sz w:val="28"/>
          <w:szCs w:val="28"/>
          <w:lang w:val="en-US" w:eastAsia="zh-CN"/>
        </w:rPr>
        <w:t>升级版</w:t>
      </w:r>
      <w:r>
        <w:rPr>
          <w:rFonts w:hint="eastAsia" w:ascii="仿宋_GB2312" w:hAnsi="仿宋" w:eastAsia="仿宋_GB2312" w:cs="仿宋"/>
          <w:sz w:val="28"/>
          <w:szCs w:val="28"/>
          <w:lang w:eastAsia="zh-CN"/>
        </w:rPr>
        <w:t>工作的通知》(忻政发[2019]6号)文件精神，对带项目、带资金来河曲创业的领军人才(团队)，经评审确认其拥有的自主知识产权和关键技术达到国内领先，且其研发成果进入产业化阶段的，由市、县财政按1:3比例补助500-1000万元。（</w:t>
      </w:r>
      <w:r>
        <w:rPr>
          <w:rFonts w:hint="eastAsia" w:ascii="仿宋_GB2312" w:hAnsi="仿宋" w:eastAsia="仿宋_GB2312" w:cs="仿宋"/>
          <w:sz w:val="28"/>
          <w:szCs w:val="28"/>
          <w:lang w:val="en-US" w:eastAsia="zh-CN"/>
        </w:rPr>
        <w:t>《河曲县招商引资产业项目激励办法》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lang w:eastAsia="zh-CN"/>
        </w:rPr>
        <w:t>）带动就业奖励</w:t>
      </w:r>
      <w:r>
        <w:rPr>
          <w:rFonts w:hint="eastAsia" w:ascii="仿宋_GB2312" w:hAnsi="仿宋" w:eastAsia="仿宋_GB2312" w:cs="仿宋"/>
          <w:sz w:val="28"/>
          <w:szCs w:val="28"/>
          <w:lang w:val="en-US" w:eastAsia="zh-CN"/>
        </w:rPr>
        <w:t>、</w:t>
      </w:r>
      <w:r>
        <w:rPr>
          <w:rFonts w:hint="eastAsia" w:ascii="仿宋_GB2312" w:hAnsi="仿宋" w:eastAsia="仿宋_GB2312" w:cs="仿宋"/>
          <w:sz w:val="28"/>
          <w:szCs w:val="28"/>
          <w:lang w:eastAsia="zh-CN"/>
        </w:rPr>
        <w:t>企业在用工方面，签订劳动合同并交纳三险(养老、医疗、工伤)，人数达到以下规模且本县籍职工人数不低于30%的，经评审给予一次性奖励，标准为:企业职工人数1000人以上，奖励100万元;企业职工人数500人以上，奖励50万元;企业职工人数200人以上，奖励20万元。</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（二）服务措施:</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rPr>
        <w:t>县委、县政府对引进项目实行“一个项目、一位领导、一套班子、一个方案、一抓到底”的统筹协调推进机制，解决项目在推进过程中存在的问题，加快项目开工建设。原则上县领导按照其工作分工，负责相应的项目。</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rPr>
        <w:t>《山西省政府核准的投资项目目录》以外项目推行企业投资项目承诺制，有关部门要按照政策规定无条件予以受理，并限时办结，实现企业入驻“零跑腿”、省级以下“零收费”、不破红线“零罚款”、创优环境“零干扰”的“四零”机制，打造“六最”营商环境。</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rPr>
        <w:t>县招商服务中心和县经济技术园区管委会以全生命周期跟踪服务模式(项目落地、开工建设、投产运营)为引进企业做好服务，做到服务常态化、便利化、及时化。</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4.</w:t>
      </w:r>
      <w:r>
        <w:rPr>
          <w:rFonts w:hint="eastAsia" w:ascii="仿宋_GB2312" w:hAnsi="仿宋" w:eastAsia="仿宋_GB2312" w:cs="仿宋"/>
          <w:sz w:val="28"/>
          <w:szCs w:val="28"/>
        </w:rPr>
        <w:t>县招商服务中心受理投资方的投诉。如发现有违反政策规定的，先由县招商引资工作领导组及时沟通协调处理;对不服从协调处理，影响甚至破坏我县投资环境的单位和个人，由县委、县政府</w:t>
      </w:r>
      <w:r>
        <w:rPr>
          <w:rFonts w:hint="eastAsia" w:ascii="仿宋_GB2312" w:hAnsi="仿宋" w:eastAsia="仿宋_GB2312" w:cs="仿宋"/>
          <w:sz w:val="28"/>
          <w:szCs w:val="28"/>
          <w:lang w:val="en-US" w:eastAsia="zh-CN"/>
        </w:rPr>
        <w:t>责成</w:t>
      </w:r>
      <w:r>
        <w:rPr>
          <w:rFonts w:hint="eastAsia" w:ascii="仿宋_GB2312" w:hAnsi="仿宋" w:eastAsia="仿宋_GB2312" w:cs="仿宋"/>
          <w:sz w:val="28"/>
          <w:szCs w:val="28"/>
        </w:rPr>
        <w:t>执纪执法部门进行严肃查处。</w:t>
      </w:r>
    </w:p>
    <w:p>
      <w:pPr>
        <w:widowControl/>
        <w:spacing w:line="540" w:lineRule="exact"/>
        <w:ind w:firstLine="562" w:firstLineChars="200"/>
        <w:rPr>
          <w:rFonts w:hint="eastAsia"/>
        </w:rPr>
      </w:pPr>
      <w:r>
        <w:rPr>
          <w:rFonts w:hint="eastAsia" w:ascii="仿宋_GB2312" w:hAnsi="仿宋" w:eastAsia="仿宋_GB2312" w:cs="仿宋"/>
          <w:b/>
          <w:bCs/>
          <w:sz w:val="28"/>
          <w:szCs w:val="28"/>
        </w:rPr>
        <w:t>十二、其他</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河曲县农业扶贫产业园是河曲县围绕“脱贫摘帽，产业先行”战略而大力发展的一个农业经济园区，也是为稳定解决我县</w:t>
      </w:r>
      <w:r>
        <w:rPr>
          <w:rFonts w:hint="eastAsia" w:ascii="仿宋_GB2312" w:hAnsi="仿宋" w:eastAsia="仿宋_GB2312" w:cs="仿宋"/>
          <w:sz w:val="28"/>
          <w:szCs w:val="28"/>
          <w:lang w:val="en-US" w:eastAsia="zh-CN"/>
        </w:rPr>
        <w:t>易地搬</w:t>
      </w:r>
      <w:r>
        <w:rPr>
          <w:rFonts w:hint="eastAsia" w:ascii="仿宋_GB2312" w:hAnsi="仿宋" w:eastAsia="仿宋_GB2312" w:cs="仿宋"/>
          <w:sz w:val="28"/>
          <w:szCs w:val="28"/>
        </w:rPr>
        <w:t>迁贫困户后续就业，而优先发展的一个经济园区。</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农业扶贫产业园区位于河曲县城东、开元南路末端东侧</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紧邻高速引道，地势平整，区位环境优越。园区规划占地总面积1158.3亩，整个园区按不同产业划分为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五园六区一基地”:包括现代农业园、展览展销园、农耕体验园、文创园、电商物流园区、粗加工区、肉制品深加工区、酿造类加工区、休闲食品加工区、地方特产加工区、创意食品加工区及一个农研基地。农业扶贫产业园将紧紧抓住当前全县经济发展的重要战略机遇期,坚持科学发展，进一步解放思想扩大开放，充分发挥我县的资源优势、政务优势、区位优势、后发优势和环境优势,重点在海红果深加工、小杂粮深加工、畜产品深加工、</w:t>
      </w:r>
      <w:r>
        <w:rPr>
          <w:rFonts w:hint="eastAsia" w:ascii="仿宋_GB2312" w:hAnsi="仿宋" w:eastAsia="仿宋_GB2312" w:cs="仿宋"/>
          <w:sz w:val="28"/>
          <w:szCs w:val="28"/>
          <w:lang w:val="en-US" w:eastAsia="zh-CN"/>
        </w:rPr>
        <w:t>土豆</w:t>
      </w:r>
      <w:r>
        <w:rPr>
          <w:rFonts w:hint="eastAsia" w:ascii="仿宋_GB2312" w:hAnsi="仿宋" w:eastAsia="仿宋_GB2312" w:cs="仿宋"/>
          <w:sz w:val="28"/>
          <w:szCs w:val="28"/>
        </w:rPr>
        <w:t>深加工、果蔬深加工、其他农畜产品深加工项目以及以上处于研发、孵化阶段的项目上，出台专项优惠改策</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加大招商引资力度，欢迎有志于发展农业产业化项目的能人志士前来投资创业。</w:t>
      </w:r>
      <w:bookmarkStart w:id="0" w:name="_GoBack"/>
      <w:bookmarkEnd w:id="0"/>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十三、招商项目联系人信息</w:t>
      </w:r>
    </w:p>
    <w:p>
      <w:pPr>
        <w:spacing w:line="540" w:lineRule="exact"/>
        <w:ind w:firstLine="560" w:firstLineChars="200"/>
        <w:rPr>
          <w:rFonts w:hint="eastAsia" w:ascii="仿宋_GB2312" w:hAnsi="仿宋" w:eastAsia="仿宋_GB2312" w:cs="仿宋"/>
          <w:sz w:val="28"/>
          <w:szCs w:val="28"/>
          <w:lang w:val="en-US" w:eastAsia="zh-CN"/>
        </w:rPr>
      </w:pPr>
      <w:r>
        <w:rPr>
          <w:rFonts w:hint="eastAsia" w:ascii="仿宋_GB2312" w:hAnsi="仿宋" w:eastAsia="仿宋_GB2312" w:cs="仿宋"/>
          <w:sz w:val="28"/>
          <w:szCs w:val="28"/>
        </w:rPr>
        <w:t>姓名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贾金凤</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单位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河曲县</w:t>
      </w:r>
      <w:r>
        <w:rPr>
          <w:rFonts w:hint="eastAsia" w:ascii="仿宋_GB2312" w:hAnsi="仿宋" w:eastAsia="仿宋_GB2312" w:cs="仿宋"/>
          <w:sz w:val="28"/>
          <w:szCs w:val="28"/>
          <w:lang w:val="en-US" w:eastAsia="zh-CN"/>
        </w:rPr>
        <w:t>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联系方式</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0350-6190666</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邮箱</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hqxzsj@163.com</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0C89"/>
    <w:rsid w:val="001E781A"/>
    <w:rsid w:val="00325C7E"/>
    <w:rsid w:val="003449BA"/>
    <w:rsid w:val="003A6867"/>
    <w:rsid w:val="00920C89"/>
    <w:rsid w:val="00993B5C"/>
    <w:rsid w:val="00AB68FF"/>
    <w:rsid w:val="00AE4A39"/>
    <w:rsid w:val="00C006FF"/>
    <w:rsid w:val="00CB3985"/>
    <w:rsid w:val="00D2662D"/>
    <w:rsid w:val="00DB7797"/>
    <w:rsid w:val="00E56610"/>
    <w:rsid w:val="00F05348"/>
    <w:rsid w:val="00F24C74"/>
    <w:rsid w:val="01C60419"/>
    <w:rsid w:val="107670F1"/>
    <w:rsid w:val="11DE67F6"/>
    <w:rsid w:val="185831C1"/>
    <w:rsid w:val="2385542B"/>
    <w:rsid w:val="2C8C5417"/>
    <w:rsid w:val="2E02553E"/>
    <w:rsid w:val="2E525C2B"/>
    <w:rsid w:val="302B5C02"/>
    <w:rsid w:val="33C905AD"/>
    <w:rsid w:val="345455A3"/>
    <w:rsid w:val="3C440A5B"/>
    <w:rsid w:val="3D9761EF"/>
    <w:rsid w:val="434D552D"/>
    <w:rsid w:val="45777B49"/>
    <w:rsid w:val="4C263758"/>
    <w:rsid w:val="59296831"/>
    <w:rsid w:val="59B10B65"/>
    <w:rsid w:val="59DD6F8A"/>
    <w:rsid w:val="60EA58B0"/>
    <w:rsid w:val="68912782"/>
    <w:rsid w:val="75062FD9"/>
    <w:rsid w:val="7AB63556"/>
    <w:rsid w:val="7E144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16"/>
    <w:semiHidden/>
    <w:unhideWhenUsed/>
    <w:qFormat/>
    <w:uiPriority w:val="9"/>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cs="Courier New"/>
      <w:szCs w:val="21"/>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7">
    <w:name w:val="Title"/>
    <w:basedOn w:val="1"/>
    <w:next w:val="1"/>
    <w:link w:val="15"/>
    <w:qFormat/>
    <w:uiPriority w:val="0"/>
    <w:pPr>
      <w:spacing w:before="240" w:after="60"/>
      <w:jc w:val="center"/>
      <w:outlineLvl w:val="0"/>
    </w:pPr>
    <w:rPr>
      <w:rFonts w:eastAsia="宋体" w:asciiTheme="majorHAnsi" w:hAnsiTheme="majorHAnsi" w:cstheme="majorBidi"/>
      <w:b/>
      <w:bCs/>
      <w:sz w:val="32"/>
      <w:szCs w:val="32"/>
    </w:rPr>
  </w:style>
  <w:style w:type="character" w:styleId="10">
    <w:name w:val="FollowedHyperlink"/>
    <w:basedOn w:val="9"/>
    <w:semiHidden/>
    <w:unhideWhenUsed/>
    <w:uiPriority w:val="99"/>
    <w:rPr>
      <w:color w:val="333333"/>
      <w:sz w:val="24"/>
      <w:szCs w:val="24"/>
      <w:u w:val="none"/>
    </w:rPr>
  </w:style>
  <w:style w:type="character" w:styleId="11">
    <w:name w:val="Emphasis"/>
    <w:basedOn w:val="9"/>
    <w:qFormat/>
    <w:uiPriority w:val="20"/>
    <w:rPr>
      <w:i/>
    </w:rPr>
  </w:style>
  <w:style w:type="character" w:styleId="12">
    <w:name w:val="Hyperlink"/>
    <w:basedOn w:val="9"/>
    <w:semiHidden/>
    <w:unhideWhenUsed/>
    <w:qFormat/>
    <w:uiPriority w:val="99"/>
    <w:rPr>
      <w:color w:val="333333"/>
      <w:sz w:val="24"/>
      <w:szCs w:val="24"/>
      <w:u w:val="none"/>
    </w:rPr>
  </w:style>
  <w:style w:type="character" w:customStyle="1" w:styleId="13">
    <w:name w:val="页眉 Char"/>
    <w:basedOn w:val="9"/>
    <w:link w:val="5"/>
    <w:semiHidden/>
    <w:qFormat/>
    <w:uiPriority w:val="99"/>
    <w:rPr>
      <w:sz w:val="18"/>
      <w:szCs w:val="18"/>
    </w:rPr>
  </w:style>
  <w:style w:type="character" w:customStyle="1" w:styleId="14">
    <w:name w:val="页脚 Char"/>
    <w:basedOn w:val="9"/>
    <w:link w:val="4"/>
    <w:semiHidden/>
    <w:qFormat/>
    <w:uiPriority w:val="99"/>
    <w:rPr>
      <w:sz w:val="18"/>
      <w:szCs w:val="18"/>
    </w:rPr>
  </w:style>
  <w:style w:type="character" w:customStyle="1" w:styleId="15">
    <w:name w:val="标题 Char"/>
    <w:basedOn w:val="9"/>
    <w:link w:val="7"/>
    <w:qFormat/>
    <w:uiPriority w:val="0"/>
    <w:rPr>
      <w:rFonts w:eastAsia="宋体" w:asciiTheme="majorHAnsi" w:hAnsiTheme="majorHAnsi" w:cstheme="majorBidi"/>
      <w:b/>
      <w:bCs/>
      <w:sz w:val="32"/>
      <w:szCs w:val="32"/>
    </w:rPr>
  </w:style>
  <w:style w:type="character" w:customStyle="1" w:styleId="16">
    <w:name w:val="标题 5 Char"/>
    <w:basedOn w:val="9"/>
    <w:link w:val="2"/>
    <w:semiHidden/>
    <w:qFormat/>
    <w:uiPriority w:val="9"/>
    <w:rPr>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196</Words>
  <Characters>1121</Characters>
  <Lines>9</Lines>
  <Paragraphs>2</Paragraphs>
  <TotalTime>1</TotalTime>
  <ScaleCrop>false</ScaleCrop>
  <LinksUpToDate>false</LinksUpToDate>
  <CharactersWithSpaces>1315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2019-07-02T07:37:00Z</dcterms:created>
  <dc:creator>gyb1</dc:creator>
  <cp:lastModifiedBy>贾晋杰</cp:lastModifiedBy>
  <dcterms:modified xsi:type="dcterms:W3CDTF">2021-02-25T09:18:31Z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