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新能源汽车动力锂离子电池系统及研发</w:t>
      </w:r>
    </w:p>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中心建设项目</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lang w:eastAsia="zh-CN"/>
        </w:rPr>
        <w:t>新能源汽车动力锂离子电池系统及研发中心建设项目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该项目属于新能源行业。</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四、项目市场前景</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锂离子电池是一种二次电池（充电电池），它主要依靠锂离子在正极和负极之间移动来工作。在充放电过程中，Li+在两个电极之间往返嵌入和脱嵌，充电时，Li+从正极脱嵌，经过电解质嵌入负极，负极处于富锂状态；放电时则相反。</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电池一般采用含有锂元素的材料作为电极，是现代高性能电池的代表。锂离子电池具有轻巧、电容量大、寿命长等优点，除笔记本电脑、手机、便携电源、摄像机、便携式测量仪器、小型医疗仪器等小型轻量化电子装臵及电动玩具、电动剃须刀等日用电器中已被广泛应用外，锂离子电池还广泛应用于电动工具、电动汽车、储备电源、军用电源等多种新兴领域。</w:t>
      </w:r>
    </w:p>
    <w:p>
      <w:pPr>
        <w:pStyle w:val="2"/>
        <w:ind w:firstLine="560" w:firstLineChars="200"/>
        <w:rPr>
          <w:rFonts w:hint="default" w:ascii="仿宋_GB2312" w:hAnsi="仿宋" w:eastAsia="仿宋_GB2312" w:cs="仿宋"/>
          <w:kern w:val="2"/>
          <w:sz w:val="28"/>
          <w:szCs w:val="28"/>
          <w:lang w:val="en-US" w:eastAsia="zh-CN" w:bidi="ar-SA"/>
        </w:rPr>
      </w:pPr>
      <w:r>
        <w:rPr>
          <w:rFonts w:hint="default" w:ascii="仿宋_GB2312" w:hAnsi="仿宋" w:eastAsia="仿宋_GB2312" w:cs="仿宋"/>
          <w:kern w:val="2"/>
          <w:sz w:val="28"/>
          <w:szCs w:val="28"/>
          <w:lang w:val="en-US" w:eastAsia="zh-CN" w:bidi="ar-SA"/>
        </w:rPr>
        <w:t>经过十多年的发展，我国新能源汽车产业已经开始由政策驱动向市场驱动过渡。除了最早进入新能源行业的传统自主品牌，外资品牌、合资品牌、造车新势力近年来也纷纷加入新能源阵营。随着市场竞争主体多元化，新能源汽车产品日益丰富，产品结构升级换代加快。新能源乘用车大型化、高端化趋势明显，产品竞争力显著增强，车辆续航里程基本都在400公里以上，智能化、网联化特征突出。中国新能源汽车产业链上下游有效沟通，电池、电机、电控等关键领域创新活跃、产品供给质量持续提升、消费者认可度日益提高，这些都为未来新能源汽车市场的发展提供了有利条件。</w:t>
      </w:r>
    </w:p>
    <w:p>
      <w:pPr>
        <w:pStyle w:val="2"/>
        <w:ind w:firstLine="560" w:firstLineChars="200"/>
        <w:rPr>
          <w:rFonts w:hint="default"/>
          <w:lang w:val="en-US" w:eastAsia="zh-CN"/>
        </w:rPr>
      </w:pPr>
      <w:r>
        <w:rPr>
          <w:rFonts w:hint="default" w:ascii="仿宋_GB2312" w:hAnsi="仿宋" w:eastAsia="仿宋_GB2312" w:cs="仿宋"/>
          <w:kern w:val="2"/>
          <w:sz w:val="28"/>
          <w:szCs w:val="28"/>
          <w:lang w:val="en-US" w:eastAsia="zh-CN" w:bidi="ar-SA"/>
        </w:rPr>
        <w:t>随着新能源汽车行业经济效益日益凸显，锂电池产业链、供应链、价值链、生态链等链条开始重构。国内全产业链累计投资额超过2万亿元，已经成为发展的新动能。截至目前，我国新能源汽车成交量连续5年位居全球第一，累计推广量超过480万辆，占据全球半壁以上江山。</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（一）包括建设背景</w:t>
      </w:r>
      <w:r>
        <w:rPr>
          <w:rFonts w:hint="eastAsia" w:ascii="仿宋_GB2312" w:hAnsi="仿宋" w:eastAsia="仿宋_GB2312" w:cs="仿宋"/>
          <w:sz w:val="28"/>
          <w:szCs w:val="28"/>
          <w:lang w:eastAsia="zh-CN"/>
        </w:rPr>
        <w:t>：</w:t>
      </w:r>
      <w:r>
        <w:rPr>
          <w:rFonts w:hint="default" w:ascii="仿宋_GB2312" w:hAnsi="仿宋" w:eastAsia="仿宋_GB2312" w:cs="仿宋"/>
          <w:kern w:val="2"/>
          <w:sz w:val="28"/>
          <w:szCs w:val="28"/>
          <w:lang w:val="en-US" w:eastAsia="zh-CN" w:bidi="ar-SA"/>
        </w:rPr>
        <w:t>随着新能源汽车行业经济效益日益凸显，锂电池产业链、供应链、价值链、生态链等链条开始重构。国内全产业链累计投资额超过2万亿元，已经成为发展的新动能。截至目前，我国新能源汽车成交量连续5年位居全球第一，累计推广量超过480万辆，占据全球半壁以上江山。</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w:t>
      </w:r>
      <w:r>
        <w:rPr>
          <w:rFonts w:hint="eastAsia" w:ascii="仿宋_GB2312" w:hAnsi="仿宋" w:eastAsia="仿宋_GB2312" w:cs="仿宋"/>
          <w:sz w:val="28"/>
          <w:szCs w:val="28"/>
          <w:lang w:val="en-US" w:eastAsia="zh-CN"/>
        </w:rPr>
        <w:t>经济技术园区</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本项目年产2.0亿安时新能源汽车动力锂电池及电池系统。占地面积200000㎡，拟建设生产车间</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测试及研发中心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辅助生产建筑</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附属设施</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办公及宿舍。</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新能源汽车动力锂电池及电池系统</w:t>
      </w:r>
      <w:r>
        <w:rPr>
          <w:rFonts w:hint="eastAsia" w:ascii="仿宋_GB2312" w:hAnsi="仿宋" w:eastAsia="仿宋_GB2312" w:cs="仿宋"/>
          <w:sz w:val="28"/>
          <w:szCs w:val="28"/>
          <w:lang w:eastAsia="zh-CN"/>
        </w:rPr>
        <w:t>。</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总投资</w:t>
      </w:r>
      <w:r>
        <w:rPr>
          <w:rFonts w:hint="eastAsia" w:ascii="仿宋_GB2312" w:hAnsi="仿宋" w:eastAsia="仿宋_GB2312" w:cs="仿宋"/>
          <w:sz w:val="28"/>
          <w:szCs w:val="28"/>
          <w:lang w:val="en-US" w:eastAsia="zh-CN"/>
        </w:rPr>
        <w:t>200000万元，项目资金企业自筹。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经济技术园区七通一平等配套设施建设完善。</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九、项目效益分析</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在本项目的实施将推动锂离子电池产业的发展,促进电池制造业的更新换代。产品将在电子、通讯、汽车、电动工具等相关领域得到广泛的应用，为国家节约大量的资源和能源。并带动</w:t>
      </w:r>
      <w:r>
        <w:rPr>
          <w:rFonts w:hint="eastAsia" w:ascii="仿宋_GB2312" w:hAnsi="仿宋" w:eastAsia="仿宋_GB2312" w:cs="仿宋"/>
          <w:b w:val="0"/>
          <w:bCs w:val="0"/>
          <w:sz w:val="28"/>
          <w:szCs w:val="28"/>
          <w:lang w:val="en-US" w:eastAsia="zh-CN"/>
        </w:rPr>
        <w:t>河曲县及</w:t>
      </w:r>
      <w:r>
        <w:rPr>
          <w:rFonts w:hint="eastAsia" w:ascii="仿宋_GB2312" w:hAnsi="仿宋" w:eastAsia="仿宋_GB2312" w:cs="仿宋"/>
          <w:b w:val="0"/>
          <w:bCs w:val="0"/>
          <w:sz w:val="28"/>
          <w:szCs w:val="28"/>
        </w:rPr>
        <w:t>周边地区相关工业产业的快速发展，延长新能源产业链条，促进我</w:t>
      </w:r>
      <w:r>
        <w:rPr>
          <w:rFonts w:hint="eastAsia" w:ascii="仿宋_GB2312" w:hAnsi="仿宋" w:eastAsia="仿宋_GB2312" w:cs="仿宋"/>
          <w:b w:val="0"/>
          <w:bCs w:val="0"/>
          <w:sz w:val="28"/>
          <w:szCs w:val="28"/>
          <w:lang w:val="en-US" w:eastAsia="zh-CN"/>
        </w:rPr>
        <w:t>县</w:t>
      </w:r>
      <w:r>
        <w:rPr>
          <w:rFonts w:hint="eastAsia" w:ascii="仿宋_GB2312" w:hAnsi="仿宋" w:eastAsia="仿宋_GB2312" w:cs="仿宋"/>
          <w:b w:val="0"/>
          <w:bCs w:val="0"/>
          <w:sz w:val="28"/>
          <w:szCs w:val="28"/>
        </w:rPr>
        <w:t>新能源技术的进步，实现产业升级，优化产业结构，推动地方经济发展。</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200000万元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独资、合资、合作均可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十二、其他</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规划总面积5.85平方公里，位于河曲县城东1公里处，区位优势明显，地理位置优越，紧邻神河高速出口，交通便利。立足河曲经济技术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产业现状布局，综合考虑生产要素，结合开发区内地形地貌、水电、交通走向体系，河曲经济技术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总体形成“一心一带三大板块”的空间结构：</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“一心”：以蚰蜒峁村为中心形成的集居住、商业、娱乐休闲、行政办公、会展服务、基础配套设施等功能于一体的生产服务中心。</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“一带”：指的是借助山西鲁能河曲电厂的运煤铁路专线两侧的防护绿化带及东山公园形成开发区一条生态景观带。</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“三大板块”：依托</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内现有的企业形成的产业板块，现将开发区内地块分成“新材料产业板块、节能环保产业板块、食品和农产品加工产业板块”。</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基础设施处于逐步建设阶段，土地平整工作正在开展，水力、电力、道路、环保等基础设施建设等前期工作均在有序建设中。</w:t>
      </w:r>
      <w:bookmarkStart w:id="0" w:name="_GoBack"/>
      <w:bookmarkEnd w:id="0"/>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r>
        <w:rPr>
          <w:rFonts w:hint="eastAsia" w:ascii="仿宋_GB2312" w:hAnsi="仿宋" w:eastAsia="仿宋_GB2312" w:cs="仿宋"/>
          <w:sz w:val="28"/>
          <w:szCs w:val="28"/>
          <w:lang w:eastAsia="zh-CN"/>
        </w:rPr>
        <w:t xml:space="preserve"> </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226E22"/>
    <w:rsid w:val="00325C7E"/>
    <w:rsid w:val="003449BA"/>
    <w:rsid w:val="003A6867"/>
    <w:rsid w:val="00920C89"/>
    <w:rsid w:val="00993B5C"/>
    <w:rsid w:val="00AB68FF"/>
    <w:rsid w:val="00AE4A39"/>
    <w:rsid w:val="00C006FF"/>
    <w:rsid w:val="00CB3985"/>
    <w:rsid w:val="00D2662D"/>
    <w:rsid w:val="00DB7797"/>
    <w:rsid w:val="00E56610"/>
    <w:rsid w:val="00F05348"/>
    <w:rsid w:val="00F24C74"/>
    <w:rsid w:val="0B973DB5"/>
    <w:rsid w:val="11DE67F6"/>
    <w:rsid w:val="185831C1"/>
    <w:rsid w:val="18CE0A3B"/>
    <w:rsid w:val="1F7B2C4F"/>
    <w:rsid w:val="21173451"/>
    <w:rsid w:val="2C8C5417"/>
    <w:rsid w:val="2E525C2B"/>
    <w:rsid w:val="302B5C02"/>
    <w:rsid w:val="3D9761EF"/>
    <w:rsid w:val="56CB5E8C"/>
    <w:rsid w:val="59296831"/>
    <w:rsid w:val="59B10B65"/>
    <w:rsid w:val="60EA58B0"/>
    <w:rsid w:val="75062FD9"/>
    <w:rsid w:val="7AB63556"/>
    <w:rsid w:val="7E144DDE"/>
    <w:rsid w:val="7FD6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paragraph" w:styleId="4">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11">
    <w:name w:val="FollowedHyperlink"/>
    <w:basedOn w:val="10"/>
    <w:semiHidden/>
    <w:unhideWhenUsed/>
    <w:uiPriority w:val="99"/>
    <w:rPr>
      <w:color w:val="333333"/>
      <w:sz w:val="24"/>
      <w:szCs w:val="24"/>
      <w:u w:val="none"/>
    </w:rPr>
  </w:style>
  <w:style w:type="character" w:styleId="12">
    <w:name w:val="Emphasis"/>
    <w:basedOn w:val="10"/>
    <w:qFormat/>
    <w:uiPriority w:val="20"/>
    <w:rPr>
      <w:i/>
    </w:rPr>
  </w:style>
  <w:style w:type="character" w:styleId="13">
    <w:name w:val="Hyperlink"/>
    <w:basedOn w:val="10"/>
    <w:semiHidden/>
    <w:unhideWhenUsed/>
    <w:uiPriority w:val="99"/>
    <w:rPr>
      <w:color w:val="333333"/>
      <w:sz w:val="24"/>
      <w:szCs w:val="24"/>
      <w:u w:val="non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Char"/>
    <w:basedOn w:val="10"/>
    <w:link w:val="8"/>
    <w:qFormat/>
    <w:uiPriority w:val="0"/>
    <w:rPr>
      <w:rFonts w:eastAsia="宋体" w:asciiTheme="majorHAnsi" w:hAnsiTheme="majorHAnsi" w:cstheme="majorBidi"/>
      <w:b/>
      <w:bCs/>
      <w:sz w:val="32"/>
      <w:szCs w:val="32"/>
    </w:rPr>
  </w:style>
  <w:style w:type="character" w:customStyle="1" w:styleId="17">
    <w:name w:val="标题 5 Char"/>
    <w:basedOn w:val="10"/>
    <w:link w:val="4"/>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1</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贾晋杰</cp:lastModifiedBy>
  <dcterms:modified xsi:type="dcterms:W3CDTF">2021-02-25T09:19:00Z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