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年产120亿只一次性医疗级丁腈手套项目</w:t>
      </w:r>
    </w:p>
    <w:p>
      <w:pPr>
        <w:spacing w:line="540" w:lineRule="exact"/>
        <w:ind w:firstLine="562" w:firstLineChars="200"/>
        <w:rPr>
          <w:rFonts w:hint="eastAsia" w:ascii="仿宋_GB2312" w:hAnsi="仿宋" w:eastAsia="仿宋_GB2312" w:cs="仿宋"/>
          <w:sz w:val="28"/>
          <w:szCs w:val="28"/>
          <w:lang w:eastAsia="zh-CN"/>
        </w:rPr>
      </w:pPr>
      <w:r>
        <w:rPr>
          <w:rFonts w:hint="eastAsia" w:ascii="仿宋_GB2312" w:hAnsi="仿宋" w:eastAsia="仿宋_GB2312" w:cs="仿宋"/>
          <w:b/>
          <w:bCs/>
          <w:sz w:val="28"/>
          <w:szCs w:val="28"/>
        </w:rPr>
        <w:t>一、项目名称</w:t>
      </w:r>
      <w:r>
        <w:rPr>
          <w:rFonts w:hint="eastAsia" w:ascii="仿宋_GB2312" w:hAnsi="仿宋" w:eastAsia="仿宋_GB2312" w:cs="仿宋"/>
          <w:b/>
          <w:bCs/>
          <w:sz w:val="28"/>
          <w:szCs w:val="28"/>
          <w:lang w:eastAsia="zh-CN"/>
        </w:rPr>
        <w:t>：</w:t>
      </w:r>
      <w:r>
        <w:rPr>
          <w:rFonts w:hint="eastAsia" w:ascii="仿宋_GB2312" w:hAnsi="仿宋" w:eastAsia="仿宋_GB2312" w:cs="仿宋"/>
          <w:sz w:val="28"/>
          <w:szCs w:val="28"/>
        </w:rPr>
        <w:t>年产120亿只一次性医疗级丁腈手套项目</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该项目属于生物医药行业。</w:t>
      </w:r>
    </w:p>
    <w:p>
      <w:pPr>
        <w:spacing w:line="540" w:lineRule="exact"/>
        <w:ind w:firstLine="562" w:firstLineChars="200"/>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四、项目市场前景</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从国际市场看，由于使用习惯、消费水平及消费能力等因素，检查用手套主要集中在欧美等发达国家，并且为了解决乳胶手套的过敏 问题，欧美率先实现乳胶检查手套向 PVC 及丁腈等材料的转移。目前 PVC 及丁腈医用检 查手套正快速向中东、南美等地区的新兴市场扩张，并且逐步取代乳胶手套的份额。</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医疗级手套是一次性手套的高端产品，准入门槛高，具有强制性采购要求，需求稳定 且持续增长。医疗级手套的准入标准相较于非医疗级更高，是一次性手套的高端产品，生 产企业必须进行严格的质量控制，具有较高的准入门槛，并且在绝大部分目标出口国属于 法律强制规定使用的产品，是公共卫生政策的重要组成部分之一，强制性的采购需求，因 此其需求稳定并持续增长。非医疗级市场没有强制性法律规定，一般由各个行业内的客户 根据自身的生产要求对手套产品提出要求，但随着防护意识加强及消费水平提高，非医疗 级市场需求也在不断增加。2020年，新冠疫情在国内外爆发，防护产品成为重要的战略物资，全球一次性医疗手套消费市场迎来爆发式增长，产品供不应求，业内普遍预计一次性手套需求未来将保持15-20%左右的高速增长，一次性手套行业将迎来一个发展黄金期，为本项目的建设奠定了坚实的市场基础。</w:t>
      </w:r>
    </w:p>
    <w:p>
      <w:pPr>
        <w:pStyle w:val="2"/>
        <w:ind w:firstLine="560" w:firstLineChars="200"/>
        <w:rPr>
          <w:rFonts w:hint="default" w:ascii="仿宋_GB2312" w:hAnsi="仿宋" w:eastAsia="仿宋_GB2312" w:cs="仿宋"/>
          <w:kern w:val="2"/>
          <w:sz w:val="28"/>
          <w:szCs w:val="28"/>
          <w:lang w:val="en-US" w:eastAsia="zh-CN" w:bidi="ar-SA"/>
        </w:rPr>
      </w:pPr>
      <w:r>
        <w:rPr>
          <w:rFonts w:hint="default" w:ascii="仿宋_GB2312" w:hAnsi="仿宋" w:eastAsia="仿宋_GB2312" w:cs="仿宋"/>
          <w:kern w:val="2"/>
          <w:sz w:val="28"/>
          <w:szCs w:val="28"/>
          <w:lang w:val="en-US" w:eastAsia="zh-CN" w:bidi="ar-SA"/>
        </w:rPr>
        <w:t>我国需求的增长一方面来自各类法律法规的规定，另外一方面随着经济进步，以及非 典、H1N1、新型冠状病毒感染肺炎疫情引起的肺炎等特殊事件的刺激，人们的消费观念和习惯也在不断发生变化，预计我国对一次性防护手套的需求将快速增长。拥有全球人口 五分之一的中国，有望成为一次性防护手套的巨大潜在市场。</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（一）包括建设背景</w:t>
      </w:r>
      <w:r>
        <w:rPr>
          <w:rFonts w:hint="eastAsia" w:ascii="仿宋_GB2312" w:hAnsi="仿宋" w:eastAsia="仿宋_GB2312" w:cs="仿宋"/>
          <w:sz w:val="28"/>
          <w:szCs w:val="28"/>
          <w:lang w:eastAsia="zh-CN"/>
        </w:rPr>
        <w:t>：</w:t>
      </w:r>
      <w:r>
        <w:rPr>
          <w:rFonts w:hint="default" w:ascii="仿宋_GB2312" w:hAnsi="仿宋" w:eastAsia="仿宋_GB2312" w:cs="仿宋"/>
          <w:sz w:val="28"/>
          <w:szCs w:val="28"/>
          <w:lang w:val="en-US" w:eastAsia="zh-CN"/>
        </w:rPr>
        <w:t>2020年，新冠疫情在国内外爆发，防护产品成为重要的战略物资，全球一次性医疗手套消费市场迎来爆发式增长，产品供不应求，业内普遍预计一次性手套需求未来将保持15-20%左右的高速增长，一次性手套行业将迎来一个发展黄金期，为本项目的建设奠定了坚实的市场基础。</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w:t>
      </w:r>
      <w:r>
        <w:rPr>
          <w:rFonts w:hint="eastAsia" w:ascii="仿宋_GB2312" w:hAnsi="仿宋" w:eastAsia="仿宋_GB2312" w:cs="仿宋"/>
          <w:sz w:val="28"/>
          <w:szCs w:val="28"/>
          <w:lang w:val="en-US" w:eastAsia="zh-CN"/>
        </w:rPr>
        <w:t>经济技术园区</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项目在</w:t>
      </w:r>
      <w:r>
        <w:rPr>
          <w:rFonts w:hint="eastAsia" w:ascii="仿宋_GB2312" w:hAnsi="仿宋" w:eastAsia="仿宋_GB2312" w:cs="仿宋"/>
          <w:sz w:val="28"/>
          <w:szCs w:val="28"/>
          <w:lang w:eastAsia="zh-CN"/>
        </w:rPr>
        <w:t>河曲</w:t>
      </w:r>
      <w:r>
        <w:rPr>
          <w:rFonts w:hint="eastAsia" w:ascii="仿宋_GB2312" w:hAnsi="仿宋" w:eastAsia="仿宋_GB2312" w:cs="仿宋"/>
          <w:sz w:val="28"/>
          <w:szCs w:val="28"/>
          <w:lang w:val="en-US" w:eastAsia="zh-CN"/>
        </w:rPr>
        <w:t>经济技术园区</w:t>
      </w:r>
      <w:r>
        <w:rPr>
          <w:rFonts w:hint="eastAsia" w:ascii="仿宋_GB2312" w:hAnsi="仿宋" w:eastAsia="仿宋_GB2312" w:cs="仿宋"/>
          <w:sz w:val="28"/>
          <w:szCs w:val="28"/>
          <w:lang w:eastAsia="zh-CN"/>
        </w:rPr>
        <w:t>占地面积20万 m2（300亩），</w:t>
      </w:r>
      <w:r>
        <w:rPr>
          <w:rFonts w:hint="eastAsia" w:ascii="仿宋_GB2312" w:hAnsi="仿宋" w:eastAsia="仿宋_GB2312" w:cs="仿宋"/>
          <w:sz w:val="28"/>
          <w:szCs w:val="28"/>
          <w:lang w:val="en-US" w:eastAsia="zh-CN"/>
        </w:rPr>
        <w:t>建设40条</w:t>
      </w:r>
      <w:r>
        <w:rPr>
          <w:rFonts w:hint="eastAsia" w:ascii="仿宋_GB2312" w:hAnsi="仿宋" w:eastAsia="仿宋_GB2312" w:cs="仿宋"/>
          <w:sz w:val="28"/>
          <w:szCs w:val="28"/>
        </w:rPr>
        <w:t>生产线（含配套设施）</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办公楼、宿舍楼、生产车间及库房。</w:t>
      </w:r>
      <w:r>
        <w:rPr>
          <w:rFonts w:hint="eastAsia" w:ascii="仿宋_GB2312" w:hAnsi="仿宋" w:eastAsia="仿宋_GB2312" w:cs="仿宋"/>
          <w:sz w:val="28"/>
          <w:szCs w:val="28"/>
        </w:rPr>
        <w:t>年产120亿只一次性医疗级丁腈手套</w:t>
      </w:r>
      <w:r>
        <w:rPr>
          <w:rFonts w:hint="eastAsia" w:ascii="仿宋_GB2312" w:hAnsi="仿宋" w:eastAsia="仿宋_GB2312" w:cs="仿宋"/>
          <w:sz w:val="28"/>
          <w:szCs w:val="28"/>
          <w:lang w:eastAsia="zh-CN"/>
        </w:rPr>
        <w:t>。项目建设周期为12-18个月。</w:t>
      </w:r>
    </w:p>
    <w:p>
      <w:pPr>
        <w:ind w:firstLine="560" w:firstLineChars="200"/>
        <w:rPr>
          <w:rFonts w:hint="eastAsia" w:eastAsia="仿宋_GB2312"/>
          <w:lang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：一次性丁腈手套</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总投资</w:t>
      </w:r>
      <w:r>
        <w:rPr>
          <w:rFonts w:hint="eastAsia" w:ascii="仿宋_GB2312" w:hAnsi="仿宋" w:eastAsia="仿宋_GB2312" w:cs="仿宋"/>
          <w:sz w:val="28"/>
          <w:szCs w:val="28"/>
          <w:lang w:val="en-US" w:eastAsia="zh-CN"/>
        </w:rPr>
        <w:t>200000万元，项目资金企业自筹。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气候</w:t>
      </w:r>
      <w:bookmarkStart w:id="0" w:name="_GoBack"/>
      <w:bookmarkEnd w:id="0"/>
      <w:r>
        <w:rPr>
          <w:rFonts w:hint="eastAsia" w:ascii="仿宋_GB2312" w:hAnsi="仿宋" w:eastAsia="仿宋_GB2312" w:cs="仿宋"/>
          <w:sz w:val="28"/>
          <w:szCs w:val="28"/>
          <w:lang w:eastAsia="zh-CN"/>
        </w:rPr>
        <w:t>条件, 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干里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士地费用：工业用地费用平均在15-21万元/亩，重大项目一事一议、一企一策；7.劳动力成本：1500-3000元/人/月；8.物流成本：0.2-0.3元/吨.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经济技术园区七通一平等配套设施建设完善。</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九、项目效益分析</w:t>
      </w:r>
    </w:p>
    <w:p>
      <w:pPr>
        <w:spacing w:line="540" w:lineRule="exact"/>
        <w:ind w:firstLine="560" w:firstLineChars="200"/>
        <w:rPr>
          <w:rFonts w:hint="default" w:ascii="仿宋_GB2312" w:hAnsi="仿宋" w:eastAsia="仿宋_GB2312" w:cs="仿宋"/>
          <w:b/>
          <w:bCs/>
          <w:sz w:val="28"/>
          <w:szCs w:val="28"/>
          <w:lang w:val="en-US"/>
        </w:rPr>
      </w:pPr>
      <w:r>
        <w:rPr>
          <w:rFonts w:hint="default" w:ascii="仿宋_GB2312" w:hAnsi="仿宋" w:eastAsia="仿宋_GB2312" w:cs="仿宋"/>
          <w:sz w:val="28"/>
          <w:szCs w:val="28"/>
          <w:lang w:val="en-US" w:eastAsia="zh-CN"/>
        </w:rPr>
        <w:t>2020年，新冠疫情在国内外爆发，防护产品成为重要的战略物资，全球一次性医疗手套消费市场迎来爆发式增长，产品供不应求，业内普遍预计一次性手套需求未来将保持15-20%左右的高速增长，一次性手套行业将迎来一个发展黄金期</w:t>
      </w:r>
      <w:r>
        <w:rPr>
          <w:rFonts w:hint="eastAsia" w:ascii="仿宋_GB2312" w:hAnsi="仿宋" w:eastAsia="仿宋_GB2312" w:cs="仿宋"/>
          <w:sz w:val="28"/>
          <w:szCs w:val="28"/>
          <w:lang w:val="en-US" w:eastAsia="zh-CN"/>
        </w:rPr>
        <w:t>。该项目经济、社会效益显著。</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200000万元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独资、合资、合作均可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升级版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责成执纪执法部门进行严肃查处。</w:t>
      </w:r>
    </w:p>
    <w:p>
      <w:pPr>
        <w:widowControl/>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十二、其他</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规划总面积5.85平方公里，位于河曲县城东1公里处，区位优势明显，地理位置优越，紧邻神河高速出口，交通便利。立足河曲经济技术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产业现状布局，综合考虑生产要素，结合开发区内地形地貌、水电、交通走向体系，河曲经济技术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总体形成“一心一带三大板块”的空间结构：</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“一心”：以蚰蜒峁村为中心形成的集居住、商业、娱乐休闲、行政办公、会展服务、基础配套设施等功能于一体的生产服务中心。</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“一带”：指的是借助山西鲁能河曲电厂的运煤铁路专线两侧的防护绿化带及东山公园形成开发区一条生态景观带。</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“三大板块”：依托</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内现有的企业形成的产业板块，现将开发区内地块分成“新材料产业板块、节能环保产业板块、食品和农产品加工产业板块”。</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基础设施处于逐步建设阶段，土地平整工作正在开展，水力、电力、道路、环保等基础设施建设等前期工作均在有序建设中。</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贾金凤</w:t>
      </w:r>
      <w:r>
        <w:rPr>
          <w:rFonts w:hint="eastAsia" w:ascii="仿宋_GB2312" w:hAnsi="仿宋" w:eastAsia="仿宋_GB2312" w:cs="仿宋"/>
          <w:sz w:val="28"/>
          <w:szCs w:val="28"/>
          <w:lang w:eastAsia="zh-CN"/>
        </w:rPr>
        <w:t xml:space="preserve"> </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EyYjYyYzQxMjJiZjY3MTUwZmQ5MWNiZjIxYmZkNmQifQ=="/>
  </w:docVars>
  <w:rsids>
    <w:rsidRoot w:val="00920C89"/>
    <w:rsid w:val="001E781A"/>
    <w:rsid w:val="00325C7E"/>
    <w:rsid w:val="003449BA"/>
    <w:rsid w:val="003A6867"/>
    <w:rsid w:val="00920C89"/>
    <w:rsid w:val="00993B5C"/>
    <w:rsid w:val="00AB68FF"/>
    <w:rsid w:val="00AE4A39"/>
    <w:rsid w:val="00C006FF"/>
    <w:rsid w:val="00CB3985"/>
    <w:rsid w:val="00D2662D"/>
    <w:rsid w:val="00DB7797"/>
    <w:rsid w:val="00E56610"/>
    <w:rsid w:val="00F05348"/>
    <w:rsid w:val="00F24C74"/>
    <w:rsid w:val="11DE67F6"/>
    <w:rsid w:val="185831C1"/>
    <w:rsid w:val="18CE0A3B"/>
    <w:rsid w:val="21173451"/>
    <w:rsid w:val="2C8C5417"/>
    <w:rsid w:val="2E525C2B"/>
    <w:rsid w:val="2F997278"/>
    <w:rsid w:val="302B5C02"/>
    <w:rsid w:val="3D9761EF"/>
    <w:rsid w:val="3EE05E46"/>
    <w:rsid w:val="56671B72"/>
    <w:rsid w:val="59296831"/>
    <w:rsid w:val="59B10B65"/>
    <w:rsid w:val="60EA58B0"/>
    <w:rsid w:val="75062FD9"/>
    <w:rsid w:val="7AB63556"/>
    <w:rsid w:val="7E144DDE"/>
    <w:rsid w:val="7FD6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5"/>
    <w:basedOn w:val="1"/>
    <w:next w:val="1"/>
    <w:link w:val="14"/>
    <w:semiHidden/>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3"/>
    <w:qFormat/>
    <w:uiPriority w:val="0"/>
    <w:pPr>
      <w:spacing w:before="240" w:after="60"/>
      <w:jc w:val="center"/>
      <w:outlineLvl w:val="0"/>
    </w:pPr>
    <w:rPr>
      <w:rFonts w:eastAsia="宋体" w:asciiTheme="majorHAnsi" w:hAnsiTheme="majorHAnsi" w:cstheme="majorBidi"/>
      <w:b/>
      <w:bCs/>
      <w:sz w:val="32"/>
      <w:szCs w:val="32"/>
    </w:rPr>
  </w:style>
  <w:style w:type="character" w:styleId="10">
    <w:name w:val="Emphasis"/>
    <w:basedOn w:val="9"/>
    <w:qFormat/>
    <w:uiPriority w:val="20"/>
    <w:rPr>
      <w:i/>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标题 Char"/>
    <w:basedOn w:val="9"/>
    <w:link w:val="7"/>
    <w:qFormat/>
    <w:uiPriority w:val="0"/>
    <w:rPr>
      <w:rFonts w:eastAsia="宋体" w:asciiTheme="majorHAnsi" w:hAnsiTheme="majorHAnsi" w:cstheme="majorBidi"/>
      <w:b/>
      <w:bCs/>
      <w:sz w:val="32"/>
      <w:szCs w:val="32"/>
    </w:rPr>
  </w:style>
  <w:style w:type="character" w:customStyle="1" w:styleId="14">
    <w:name w:val="标题 5 Char"/>
    <w:basedOn w:val="9"/>
    <w:link w:val="3"/>
    <w:semiHidden/>
    <w:qFormat/>
    <w:uiPriority w:val="9"/>
    <w:rPr>
      <w:b/>
      <w:bCs/>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4204</Words>
  <Characters>4428</Characters>
  <Lines>9</Lines>
  <Paragraphs>2</Paragraphs>
  <TotalTime>1</TotalTime>
  <ScaleCrop>false</ScaleCrop>
  <LinksUpToDate>false</LinksUpToDate>
  <CharactersWithSpaces>4445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李娟</cp:lastModifiedBy>
  <dcterms:modified xsi:type="dcterms:W3CDTF">2022-04-27T10:25:09Z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1143F05196DC4DDBAF10B94798CC1B22</vt:lpwstr>
  </property>
</Properties>
</file>