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shd w:val="clear" w:color="auto" w:fill="FFFFFF"/>
        <w:wordWrap w:val="0"/>
        <w:spacing w:beforeAutospacing="0" w:afterAutospacing="0"/>
        <w:ind w:firstLine="480"/>
        <w:jc w:val="center"/>
        <w:rPr>
          <w:rFonts w:hint="eastAsia" w:ascii="宋体" w:hAnsi="宋体" w:eastAsia="宋体" w:cs="宋体"/>
          <w:b/>
          <w:bCs/>
          <w:sz w:val="44"/>
          <w:szCs w:val="44"/>
        </w:rPr>
      </w:pPr>
      <w:r>
        <w:rPr>
          <w:rStyle w:val="6"/>
          <w:rFonts w:hint="eastAsia" w:cs="宋体"/>
          <w:b/>
          <w:bCs/>
          <w:sz w:val="44"/>
          <w:szCs w:val="44"/>
          <w:lang w:eastAsia="zh-CN"/>
        </w:rPr>
        <w:t>中共</w:t>
      </w:r>
      <w:r>
        <w:rPr>
          <w:rStyle w:val="6"/>
          <w:rFonts w:hint="eastAsia" w:ascii="宋体" w:hAnsi="宋体" w:eastAsia="宋体" w:cs="宋体"/>
          <w:b/>
          <w:bCs/>
          <w:sz w:val="44"/>
          <w:szCs w:val="44"/>
        </w:rPr>
        <w:t>河曲县委统战部</w:t>
      </w:r>
      <w:bookmarkStart w:id="0" w:name="_GoBack"/>
      <w:bookmarkEnd w:id="0"/>
    </w:p>
    <w:p>
      <w:pPr>
        <w:pStyle w:val="4"/>
        <w:shd w:val="clear" w:color="auto" w:fill="FFFFFF"/>
        <w:wordWrap w:val="0"/>
        <w:spacing w:beforeAutospacing="0" w:afterAutospacing="0"/>
        <w:ind w:firstLine="480"/>
        <w:jc w:val="center"/>
        <w:rPr>
          <w:rFonts w:hint="eastAsia" w:ascii="宋体" w:hAnsi="宋体" w:eastAsia="宋体" w:cs="宋体"/>
          <w:b/>
          <w:bCs/>
          <w:sz w:val="44"/>
          <w:szCs w:val="44"/>
        </w:rPr>
      </w:pPr>
      <w:r>
        <w:rPr>
          <w:rStyle w:val="6"/>
          <w:rFonts w:hint="eastAsia" w:ascii="宋体" w:hAnsi="宋体" w:eastAsia="宋体" w:cs="宋体"/>
          <w:b/>
          <w:bCs/>
          <w:sz w:val="44"/>
          <w:szCs w:val="44"/>
        </w:rPr>
        <w:t>2019年部门决算公开说明</w:t>
      </w:r>
    </w:p>
    <w:p>
      <w:pPr>
        <w:pStyle w:val="4"/>
        <w:shd w:val="clear" w:color="auto" w:fill="FFFFFF"/>
        <w:wordWrap w:val="0"/>
        <w:spacing w:beforeAutospacing="0" w:afterAutospacing="0" w:line="600" w:lineRule="exact"/>
        <w:ind w:firstLine="602" w:firstLineChars="200"/>
        <w:jc w:val="both"/>
        <w:rPr>
          <w:rFonts w:hint="eastAsia" w:ascii="仿宋_GB2312" w:hAnsi="仿宋_GB2312" w:eastAsia="仿宋_GB2312" w:cs="仿宋_GB2312"/>
          <w:b/>
          <w:bCs/>
          <w:sz w:val="30"/>
          <w:szCs w:val="30"/>
        </w:rPr>
      </w:pPr>
    </w:p>
    <w:p>
      <w:pPr>
        <w:pStyle w:val="4"/>
        <w:shd w:val="clear" w:color="auto" w:fill="FFFFFF"/>
        <w:wordWrap w:val="0"/>
        <w:spacing w:beforeAutospacing="0" w:afterAutospacing="0" w:line="600" w:lineRule="exact"/>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一、主要职能</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（一）贯彻落实加强党对统一战线工作集中统一领导的要求，发挥</w:t>
      </w:r>
      <w:r>
        <w:rPr>
          <w:rFonts w:hint="eastAsia" w:ascii="Times New Roman" w:hAnsi="Times New Roman" w:eastAsia="仿宋_GB2312"/>
          <w:sz w:val="32"/>
          <w:szCs w:val="32"/>
        </w:rPr>
        <w:t>县</w:t>
      </w:r>
      <w:r>
        <w:rPr>
          <w:rFonts w:ascii="Times New Roman" w:hAnsi="Times New Roman" w:eastAsia="仿宋_GB2312"/>
          <w:sz w:val="32"/>
          <w:szCs w:val="32"/>
        </w:rPr>
        <w:t>委在统战工作方面的参谋机构、组织协调机构、具体执行机构、督促检查机构作用，了解情況、掌握政策、协调关系、安排人事、增进共识、加强团结，协调统一战线各方面关系，组织和落实贯彻中央、省委</w:t>
      </w:r>
      <w:r>
        <w:rPr>
          <w:rFonts w:hint="eastAsia" w:ascii="Times New Roman" w:hAnsi="Times New Roman" w:eastAsia="仿宋_GB2312"/>
          <w:sz w:val="32"/>
          <w:szCs w:val="32"/>
        </w:rPr>
        <w:t>、</w:t>
      </w:r>
      <w:r>
        <w:rPr>
          <w:rFonts w:ascii="Times New Roman" w:hAnsi="Times New Roman" w:eastAsia="仿宋_GB2312"/>
          <w:sz w:val="32"/>
          <w:szCs w:val="32"/>
        </w:rPr>
        <w:t>市委</w:t>
      </w:r>
      <w:r>
        <w:rPr>
          <w:rFonts w:hint="eastAsia" w:ascii="Times New Roman" w:hAnsi="Times New Roman" w:eastAsia="仿宋_GB2312"/>
          <w:sz w:val="32"/>
          <w:szCs w:val="32"/>
        </w:rPr>
        <w:t>和县委</w:t>
      </w:r>
      <w:r>
        <w:rPr>
          <w:rFonts w:ascii="Times New Roman" w:hAnsi="Times New Roman" w:eastAsia="仿宋_GB2312"/>
          <w:sz w:val="32"/>
          <w:szCs w:val="32"/>
        </w:rPr>
        <w:t>关于统一战线工作的方针、政策和重大决策部署，巩固壮大最广泛的统一战线。</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（二）研究拟订统一战线工作的理论、政策和</w:t>
      </w:r>
      <w:r>
        <w:rPr>
          <w:rFonts w:hint="eastAsia" w:ascii="Times New Roman" w:hAnsi="Times New Roman" w:eastAsia="仿宋_GB2312"/>
          <w:sz w:val="32"/>
          <w:szCs w:val="32"/>
        </w:rPr>
        <w:t>规范性文件</w:t>
      </w:r>
      <w:r>
        <w:rPr>
          <w:rFonts w:ascii="Times New Roman" w:hAnsi="Times New Roman" w:eastAsia="仿宋_GB2312"/>
          <w:sz w:val="32"/>
          <w:szCs w:val="32"/>
        </w:rPr>
        <w:t>地方性法规草案，深入调查研究，及时向</w:t>
      </w:r>
      <w:r>
        <w:rPr>
          <w:rFonts w:hint="eastAsia" w:ascii="Times New Roman" w:hAnsi="Times New Roman" w:eastAsia="仿宋_GB2312"/>
          <w:sz w:val="32"/>
          <w:szCs w:val="32"/>
        </w:rPr>
        <w:t>县委</w:t>
      </w:r>
      <w:r>
        <w:rPr>
          <w:rFonts w:ascii="Times New Roman" w:hAnsi="Times New Roman" w:eastAsia="仿宋_GB2312"/>
          <w:sz w:val="32"/>
          <w:szCs w:val="32"/>
        </w:rPr>
        <w:t>报告统一战线工作情况并提出建议，统筹协调和指导各部门各单位统一战线工作。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（三）贯彻落实党的宣传工作方针，统筹推进统一战线宣传工作，拟订统一战线宣传工作政策和规划并组织实施，研判涉及统一战线的舆情并协调有关部门应对处置。</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（四）负责联系各民主党派，通报情况、反映意见</w:t>
      </w:r>
      <w:r>
        <w:rPr>
          <w:rFonts w:hint="eastAsia" w:ascii="Times New Roman" w:hAnsi="Times New Roman" w:eastAsia="仿宋_GB2312"/>
          <w:sz w:val="32"/>
          <w:szCs w:val="32"/>
        </w:rPr>
        <w:t>，</w:t>
      </w:r>
      <w:r>
        <w:rPr>
          <w:rFonts w:ascii="Times New Roman" w:hAnsi="Times New Roman" w:eastAsia="仿宋_GB2312"/>
          <w:sz w:val="32"/>
          <w:szCs w:val="32"/>
        </w:rPr>
        <w:t>贯彻落实中国共产党领导的多党合作和政治协商制度以及对民主党派的方针政策，支持、帮助民主党派加强自身建设，选拔培养新一代代表人物</w:t>
      </w:r>
      <w:r>
        <w:rPr>
          <w:rFonts w:hint="eastAsia" w:ascii="Times New Roman" w:hAnsi="Times New Roman" w:eastAsia="仿宋_GB2312"/>
          <w:sz w:val="32"/>
          <w:szCs w:val="32"/>
        </w:rPr>
        <w:t>，</w:t>
      </w:r>
      <w:r>
        <w:rPr>
          <w:rFonts w:ascii="Times New Roman" w:hAnsi="Times New Roman" w:eastAsia="仿宋_GB2312"/>
          <w:sz w:val="32"/>
          <w:szCs w:val="32"/>
        </w:rPr>
        <w:t>做好支持民主党派履行职责、发挥作用的工作。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（五）协调推动有关部门履行民族工作相关职责，协调处理民族工作中的重大问题，组织开展民族团结进步创建活动，根据分工做好少数民族干部工作，依法管理民族事务，全面促进民族事业发展。</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（六）统一领导全</w:t>
      </w:r>
      <w:r>
        <w:rPr>
          <w:rFonts w:hint="eastAsia" w:ascii="Times New Roman" w:hAnsi="Times New Roman" w:eastAsia="仿宋_GB2312"/>
          <w:sz w:val="32"/>
          <w:szCs w:val="32"/>
        </w:rPr>
        <w:t>县</w:t>
      </w:r>
      <w:r>
        <w:rPr>
          <w:rFonts w:ascii="Times New Roman" w:hAnsi="Times New Roman" w:eastAsia="仿宋_GB2312"/>
          <w:sz w:val="32"/>
          <w:szCs w:val="32"/>
        </w:rPr>
        <w:t>海外统战工作，牵头开展港澳统战工作，开展对台统战工作。联系香港、澳门、台湾有关党派、团体及代表人士，联系海外有关社团及代表人士，做好台胞、台属有关工作。做好统一战线外事管理工作。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（七）统一管理全</w:t>
      </w:r>
      <w:r>
        <w:rPr>
          <w:rFonts w:hint="eastAsia" w:ascii="Times New Roman" w:hAnsi="Times New Roman" w:eastAsia="仿宋_GB2312"/>
          <w:sz w:val="32"/>
          <w:szCs w:val="32"/>
        </w:rPr>
        <w:t>县</w:t>
      </w:r>
      <w:r>
        <w:rPr>
          <w:rFonts w:ascii="Times New Roman" w:hAnsi="Times New Roman" w:eastAsia="仿宋_GB2312"/>
          <w:sz w:val="32"/>
          <w:szCs w:val="32"/>
        </w:rPr>
        <w:t>侨务工作。贯彻落实党的侨务工作方针政策，拟订侨务工作政策和规划并组织协调、督促检査落实，调查研究侨情和侨务工作情况，管理侨务行政事务，统筹协调有关部门和社会团体涉侨工作，联系海外有关侨团和代表人士，开展对海外侨胞及社团的宣传联络和团结友好工作。保护华侨和归侨侨眷在</w:t>
      </w:r>
      <w:r>
        <w:rPr>
          <w:rFonts w:hint="eastAsia" w:ascii="Times New Roman" w:hAnsi="Times New Roman" w:eastAsia="仿宋_GB2312"/>
          <w:sz w:val="32"/>
          <w:szCs w:val="32"/>
        </w:rPr>
        <w:t>县</w:t>
      </w:r>
      <w:r>
        <w:rPr>
          <w:rFonts w:ascii="Times New Roman" w:hAnsi="Times New Roman" w:eastAsia="仿宋_GB2312"/>
          <w:sz w:val="32"/>
          <w:szCs w:val="32"/>
        </w:rPr>
        <w:t>内的合法权利和利益。</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（八）负责发现、培养党外代表人士，负责党外人士的政治安排，会同有关部门做好安排党外人士担任政府和司法机关等领导职务的工作，反映和协调解决党外代表人士工作生活中的实际困难。</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九）参与制定、推动落实鼓励支持非公有制经济发展的方针政策，调查研究非公有制经济人士情况并提出政策建议，了解和反映非公有制经济人士的意见，团结、服务、引导、教育非公有制经济人士，促进非公有制经济健康发展和非公有制经济人士健康成长。</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负责联系、培养无党派代表人士，支持、帮助无党派人士加强自身建设、发挥作用。调查研究党外知识分子和新的社会阶层人士情况并提出政策建议，联系、培养党外知识分子和新的社会阶层代表人士，开展思想政治工作，指导国有企业等有关单位和社会组织开展党外知识分子和新的社会阶层人士统战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（十一）统一管理全</w:t>
      </w:r>
      <w:r>
        <w:rPr>
          <w:rFonts w:hint="eastAsia" w:ascii="Times New Roman" w:hAnsi="Times New Roman" w:eastAsia="仿宋_GB2312"/>
          <w:sz w:val="32"/>
          <w:szCs w:val="32"/>
        </w:rPr>
        <w:t>县</w:t>
      </w:r>
      <w:r>
        <w:rPr>
          <w:rFonts w:ascii="Times New Roman" w:hAnsi="Times New Roman" w:eastAsia="仿宋_GB2312"/>
          <w:sz w:val="32"/>
          <w:szCs w:val="32"/>
        </w:rPr>
        <w:t>宗教工作，贯彻落实党的宗教工作基本方针和政策，研究拟订宗教工作的地方性法规、规章草案和规范性文件并督促落实，依法管理宗教行政事务，保护公民宗教信仰自由和正常的宗教活动，维护宗教界合法权益，抵御境外利用宗教进行渗透，引导各宗教坚持中国化方向，巩固和发展同宗教界的爱国统一战线。</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（十二）指导</w:t>
      </w:r>
      <w:r>
        <w:rPr>
          <w:rFonts w:hint="eastAsia" w:ascii="Times New Roman" w:hAnsi="Times New Roman" w:eastAsia="仿宋_GB2312"/>
          <w:sz w:val="32"/>
          <w:szCs w:val="32"/>
        </w:rPr>
        <w:t>县</w:t>
      </w:r>
      <w:r>
        <w:rPr>
          <w:rFonts w:ascii="Times New Roman" w:hAnsi="Times New Roman" w:eastAsia="仿宋_GB2312"/>
          <w:sz w:val="32"/>
          <w:szCs w:val="32"/>
        </w:rPr>
        <w:t>工商联工作</w:t>
      </w:r>
      <w:r>
        <w:rPr>
          <w:rFonts w:hint="eastAsia" w:ascii="Times New Roman" w:hAnsi="Times New Roman" w:eastAsia="仿宋_GB2312"/>
          <w:sz w:val="32"/>
          <w:szCs w:val="32"/>
        </w:rPr>
        <w:t>，做好统一战线有关单位和团体的</w:t>
      </w:r>
      <w:r>
        <w:rPr>
          <w:rFonts w:ascii="Times New Roman" w:hAnsi="Times New Roman" w:eastAsia="仿宋_GB2312"/>
          <w:sz w:val="32"/>
          <w:szCs w:val="32"/>
        </w:rPr>
        <w:t>管理工作。</w:t>
      </w:r>
    </w:p>
    <w:p>
      <w:pPr>
        <w:spacing w:line="616"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（十三）完成</w:t>
      </w:r>
      <w:r>
        <w:rPr>
          <w:rFonts w:hint="eastAsia" w:ascii="Times New Roman" w:hAnsi="Times New Roman" w:eastAsia="仿宋_GB2312"/>
          <w:sz w:val="32"/>
          <w:szCs w:val="32"/>
        </w:rPr>
        <w:t>县</w:t>
      </w:r>
      <w:r>
        <w:rPr>
          <w:rFonts w:ascii="Times New Roman" w:hAnsi="Times New Roman" w:eastAsia="仿宋_GB2312"/>
          <w:sz w:val="32"/>
          <w:szCs w:val="32"/>
        </w:rPr>
        <w:t>委交办的其他任务。</w:t>
      </w:r>
    </w:p>
    <w:p>
      <w:pPr>
        <w:spacing w:line="616" w:lineRule="exact"/>
        <w:ind w:firstLine="640" w:firstLineChars="200"/>
        <w:rPr>
          <w:rFonts w:ascii="仿宋" w:eastAsia="仿宋" w:cs="仿宋"/>
          <w:kern w:val="0"/>
          <w:sz w:val="32"/>
          <w:szCs w:val="32"/>
          <w:shd w:val="clear" w:color="auto" w:fill="FFFFFF"/>
        </w:rPr>
      </w:pPr>
      <w:r>
        <w:rPr>
          <w:rFonts w:ascii="Times New Roman" w:hAnsi="Times New Roman" w:eastAsia="仿宋_GB2312"/>
          <w:sz w:val="32"/>
          <w:szCs w:val="32"/>
        </w:rPr>
        <w:t>（十四）加强</w:t>
      </w:r>
      <w:r>
        <w:rPr>
          <w:rFonts w:hint="eastAsia" w:ascii="Times New Roman" w:hAnsi="Times New Roman" w:eastAsia="仿宋_GB2312"/>
          <w:sz w:val="32"/>
          <w:szCs w:val="32"/>
        </w:rPr>
        <w:t>县</w:t>
      </w:r>
      <w:r>
        <w:rPr>
          <w:rFonts w:ascii="Times New Roman" w:hAnsi="Times New Roman" w:eastAsia="仿宋_GB2312"/>
          <w:sz w:val="32"/>
          <w:szCs w:val="32"/>
        </w:rPr>
        <w:t>委统战部的统一归口协调管理职能，加强对民族、宗教、海外统战工作的集中统一领导，将民族</w:t>
      </w:r>
      <w:r>
        <w:rPr>
          <w:rFonts w:hint="eastAsia" w:ascii="Times New Roman" w:hAnsi="Times New Roman" w:eastAsia="仿宋_GB2312"/>
          <w:sz w:val="32"/>
          <w:szCs w:val="32"/>
        </w:rPr>
        <w:t>、</w:t>
      </w:r>
      <w:r>
        <w:rPr>
          <w:rFonts w:ascii="Times New Roman" w:hAnsi="Times New Roman" w:eastAsia="仿宋_GB2312"/>
          <w:sz w:val="32"/>
          <w:szCs w:val="32"/>
        </w:rPr>
        <w:t>宗教、侨务行政职能与统战职能有效整合，优化职责配置，提高工作效能。</w:t>
      </w:r>
    </w:p>
    <w:p>
      <w:pPr>
        <w:pStyle w:val="4"/>
        <w:shd w:val="clear" w:color="auto" w:fill="FFFFFF"/>
        <w:wordWrap w:val="0"/>
        <w:spacing w:beforeAutospacing="0" w:afterAutospacing="0" w:line="600" w:lineRule="exact"/>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二、部门决算单位构成</w:t>
      </w:r>
    </w:p>
    <w:p>
      <w:pPr>
        <w:pStyle w:val="4"/>
        <w:shd w:val="clear" w:color="auto" w:fill="FFFFFF"/>
        <w:wordWrap w:val="0"/>
        <w:spacing w:beforeAutospacing="0" w:afterAutospacing="0" w:line="600" w:lineRule="exact"/>
        <w:ind w:firstLine="600" w:firstLineChars="200"/>
        <w:jc w:val="both"/>
        <w:rPr>
          <w:rFonts w:ascii="仿宋" w:hAnsi="仿宋" w:eastAsia="仿宋" w:cs="仿宋"/>
          <w:sz w:val="32"/>
          <w:szCs w:val="32"/>
        </w:rPr>
      </w:pPr>
      <w:r>
        <w:rPr>
          <w:rFonts w:hint="eastAsia" w:ascii="仿宋_GB2312" w:hAnsi="微软雅黑" w:eastAsia="仿宋_GB2312"/>
          <w:sz w:val="30"/>
          <w:szCs w:val="30"/>
        </w:rPr>
        <w:t>县委统战部是</w:t>
      </w:r>
      <w:r>
        <w:rPr>
          <w:rFonts w:hint="eastAsia" w:ascii="仿宋" w:hAnsi="仿宋" w:eastAsia="仿宋" w:cs="仿宋"/>
          <w:sz w:val="32"/>
          <w:szCs w:val="32"/>
        </w:rPr>
        <w:t>以民族、宗教、非公有制经济人士</w:t>
      </w:r>
      <w:r>
        <w:rPr>
          <w:rFonts w:hint="eastAsia" w:ascii="仿宋" w:hAnsi="仿宋" w:eastAsia="仿宋" w:cs="仿宋"/>
          <w:sz w:val="32"/>
          <w:szCs w:val="32"/>
          <w:lang w:eastAsia="zh-CN"/>
        </w:rPr>
        <w:t>、</w:t>
      </w:r>
      <w:r>
        <w:rPr>
          <w:rFonts w:hint="eastAsia" w:ascii="仿宋" w:hAnsi="仿宋" w:eastAsia="仿宋" w:cs="仿宋"/>
          <w:sz w:val="32"/>
          <w:szCs w:val="32"/>
        </w:rPr>
        <w:t>党外</w:t>
      </w:r>
      <w:r>
        <w:rPr>
          <w:rFonts w:hint="eastAsia" w:ascii="仿宋" w:hAnsi="仿宋" w:eastAsia="仿宋" w:cs="仿宋"/>
          <w:sz w:val="32"/>
          <w:szCs w:val="32"/>
          <w:lang w:eastAsia="zh-CN"/>
        </w:rPr>
        <w:t>代表人士、新的社会阶层人士、侨务</w:t>
      </w:r>
      <w:r>
        <w:rPr>
          <w:rFonts w:hint="eastAsia" w:ascii="仿宋" w:hAnsi="仿宋" w:eastAsia="仿宋" w:cs="仿宋"/>
          <w:sz w:val="32"/>
          <w:szCs w:val="32"/>
        </w:rPr>
        <w:t>工作为重点</w:t>
      </w:r>
      <w:r>
        <w:rPr>
          <w:rFonts w:hint="eastAsia" w:ascii="仿宋_GB2312" w:hAnsi="微软雅黑" w:eastAsia="仿宋_GB2312"/>
          <w:sz w:val="30"/>
          <w:szCs w:val="30"/>
        </w:rPr>
        <w:t>的重要职能部门，作为县级预算单位，单位编制人数为7人，实有在岗在编人数4人，执行的是行政单位会计制度，属于部门单独决算。</w:t>
      </w:r>
    </w:p>
    <w:p>
      <w:pPr>
        <w:pStyle w:val="4"/>
        <w:shd w:val="clear" w:color="auto" w:fill="FFFFFF"/>
        <w:wordWrap w:val="0"/>
        <w:spacing w:beforeAutospacing="0" w:afterAutospacing="0" w:line="600" w:lineRule="exact"/>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三、部门决算情况说明</w:t>
      </w:r>
    </w:p>
    <w:p>
      <w:pPr>
        <w:pStyle w:val="4"/>
        <w:shd w:val="clear" w:color="auto" w:fill="FFFFFF"/>
        <w:wordWrap w:val="0"/>
        <w:spacing w:beforeAutospacing="0" w:afterAutospacing="0" w:line="600" w:lineRule="exact"/>
        <w:ind w:firstLine="480"/>
        <w:jc w:val="both"/>
        <w:rPr>
          <w:rFonts w:hint="eastAsia" w:ascii="楷体" w:hAnsi="楷体" w:eastAsia="楷体" w:cs="楷体"/>
          <w:b/>
          <w:bCs/>
          <w:sz w:val="32"/>
          <w:szCs w:val="32"/>
        </w:rPr>
      </w:pPr>
      <w:r>
        <w:rPr>
          <w:rFonts w:hint="eastAsia" w:ascii="楷体" w:hAnsi="楷体" w:eastAsia="楷体" w:cs="楷体"/>
          <w:b/>
          <w:bCs/>
          <w:sz w:val="32"/>
          <w:szCs w:val="32"/>
        </w:rPr>
        <w:t>（一）收入情况说明</w:t>
      </w:r>
    </w:p>
    <w:p>
      <w:pPr>
        <w:spacing w:line="360" w:lineRule="auto"/>
        <w:ind w:firstLine="600" w:firstLineChars="200"/>
        <w:rPr>
          <w:rFonts w:ascii="仿宋_GB2312" w:hAnsi="微软雅黑" w:eastAsia="仿宋_GB2312"/>
          <w:sz w:val="30"/>
          <w:szCs w:val="30"/>
        </w:rPr>
      </w:pPr>
      <w:r>
        <w:rPr>
          <w:rFonts w:hint="eastAsia" w:ascii="仿宋_GB2312" w:hAnsi="微软雅黑" w:eastAsia="仿宋_GB2312"/>
          <w:sz w:val="30"/>
          <w:szCs w:val="30"/>
        </w:rPr>
        <w:t>河曲县委统战部2019年部门收入46</w:t>
      </w:r>
      <w:r>
        <w:rPr>
          <w:rFonts w:hint="eastAsia" w:ascii="仿宋_GB2312" w:hAnsi="微软雅黑" w:eastAsia="仿宋_GB2312"/>
          <w:sz w:val="30"/>
          <w:szCs w:val="30"/>
          <w:lang w:val="en-US" w:eastAsia="zh-CN"/>
        </w:rPr>
        <w:t>.</w:t>
      </w:r>
      <w:r>
        <w:rPr>
          <w:rFonts w:hint="eastAsia" w:ascii="仿宋_GB2312" w:hAnsi="微软雅黑" w:eastAsia="仿宋_GB2312"/>
          <w:sz w:val="30"/>
          <w:szCs w:val="30"/>
        </w:rPr>
        <w:t>0618万元，其中财政拨款资金收入46</w:t>
      </w:r>
      <w:r>
        <w:rPr>
          <w:rFonts w:hint="eastAsia" w:ascii="仿宋_GB2312" w:hAnsi="微软雅黑" w:eastAsia="仿宋_GB2312"/>
          <w:sz w:val="30"/>
          <w:szCs w:val="30"/>
          <w:lang w:val="en-US" w:eastAsia="zh-CN"/>
        </w:rPr>
        <w:t>.</w:t>
      </w:r>
      <w:r>
        <w:rPr>
          <w:rFonts w:hint="eastAsia" w:ascii="仿宋_GB2312" w:hAnsi="微软雅黑" w:eastAsia="仿宋_GB2312"/>
          <w:sz w:val="30"/>
          <w:szCs w:val="30"/>
        </w:rPr>
        <w:t>0618万元；</w:t>
      </w:r>
      <w:r>
        <w:rPr>
          <w:rFonts w:hint="eastAsia" w:ascii="仿宋" w:hAnsi="仿宋" w:eastAsia="仿宋"/>
          <w:sz w:val="32"/>
          <w:szCs w:val="32"/>
        </w:rPr>
        <w:t>事业收入0万元；纳入决算管理的政府性基金收入0万元；其他收入0万元。</w:t>
      </w:r>
    </w:p>
    <w:p>
      <w:pPr>
        <w:pStyle w:val="4"/>
        <w:numPr>
          <w:ilvl w:val="0"/>
          <w:numId w:val="1"/>
        </w:numPr>
        <w:shd w:val="clear" w:color="auto" w:fill="FFFFFF"/>
        <w:wordWrap w:val="0"/>
        <w:spacing w:beforeAutospacing="0" w:afterAutospacing="0" w:line="600" w:lineRule="exact"/>
        <w:ind w:firstLine="480"/>
        <w:jc w:val="both"/>
        <w:rPr>
          <w:rFonts w:hint="eastAsia" w:ascii="楷体" w:hAnsi="楷体" w:eastAsia="楷体" w:cs="楷体"/>
          <w:b/>
          <w:bCs/>
          <w:sz w:val="32"/>
          <w:szCs w:val="32"/>
        </w:rPr>
      </w:pPr>
      <w:r>
        <w:rPr>
          <w:rFonts w:hint="eastAsia" w:ascii="楷体" w:hAnsi="楷体" w:eastAsia="楷体" w:cs="楷体"/>
          <w:b/>
          <w:bCs/>
          <w:sz w:val="32"/>
          <w:szCs w:val="32"/>
        </w:rPr>
        <w:t>支出情况说明</w:t>
      </w:r>
    </w:p>
    <w:p>
      <w:pPr>
        <w:pStyle w:val="4"/>
        <w:shd w:val="clear" w:color="auto" w:fill="FFFFFF"/>
        <w:wordWrap w:val="0"/>
        <w:spacing w:beforeAutospacing="0" w:afterAutospacing="0" w:line="600" w:lineRule="exact"/>
        <w:jc w:val="both"/>
        <w:rPr>
          <w:rFonts w:ascii="仿宋_GB2312" w:hAnsi="微软雅黑" w:eastAsia="仿宋_GB2312"/>
          <w:sz w:val="30"/>
          <w:szCs w:val="30"/>
        </w:rPr>
      </w:pPr>
      <w:r>
        <w:rPr>
          <w:rFonts w:hint="eastAsia" w:ascii="仿宋_GB2312" w:hAnsi="微软雅黑" w:eastAsia="仿宋_GB2312"/>
          <w:sz w:val="30"/>
          <w:szCs w:val="30"/>
        </w:rPr>
        <w:t xml:space="preserve">    河曲县委统战部2019年部门支出46</w:t>
      </w:r>
      <w:r>
        <w:rPr>
          <w:rFonts w:hint="eastAsia" w:ascii="仿宋_GB2312" w:hAnsi="微软雅黑" w:eastAsia="仿宋_GB2312"/>
          <w:sz w:val="30"/>
          <w:szCs w:val="30"/>
          <w:lang w:val="en-US" w:eastAsia="zh-CN"/>
        </w:rPr>
        <w:t>.</w:t>
      </w:r>
      <w:r>
        <w:rPr>
          <w:rFonts w:hint="eastAsia" w:ascii="仿宋_GB2312" w:hAnsi="微软雅黑" w:eastAsia="仿宋_GB2312"/>
          <w:sz w:val="30"/>
          <w:szCs w:val="30"/>
        </w:rPr>
        <w:t>0618万元，其中基本支出44</w:t>
      </w:r>
      <w:r>
        <w:rPr>
          <w:rFonts w:hint="eastAsia" w:ascii="仿宋_GB2312" w:hAnsi="微软雅黑" w:eastAsia="仿宋_GB2312"/>
          <w:sz w:val="30"/>
          <w:szCs w:val="30"/>
          <w:lang w:val="en-US" w:eastAsia="zh-CN"/>
        </w:rPr>
        <w:t>.</w:t>
      </w:r>
      <w:r>
        <w:rPr>
          <w:rFonts w:hint="eastAsia" w:ascii="仿宋_GB2312" w:hAnsi="微软雅黑" w:eastAsia="仿宋_GB2312"/>
          <w:sz w:val="30"/>
          <w:szCs w:val="30"/>
        </w:rPr>
        <w:t>3184</w:t>
      </w:r>
      <w:r>
        <w:rPr>
          <w:rFonts w:hint="eastAsia" w:ascii="仿宋_GB2312" w:hAnsi="微软雅黑" w:eastAsia="仿宋_GB2312"/>
          <w:color w:val="000000"/>
          <w:sz w:val="30"/>
          <w:szCs w:val="30"/>
        </w:rPr>
        <w:t>万元</w:t>
      </w:r>
      <w:r>
        <w:rPr>
          <w:rFonts w:hint="eastAsia" w:ascii="仿宋_GB2312" w:hAnsi="微软雅黑" w:eastAsia="仿宋_GB2312"/>
          <w:sz w:val="30"/>
          <w:szCs w:val="30"/>
        </w:rPr>
        <w:t>、项目支出</w:t>
      </w:r>
      <w:r>
        <w:rPr>
          <w:rFonts w:hint="eastAsia" w:ascii="仿宋_GB2312" w:hAnsi="微软雅黑" w:eastAsia="仿宋_GB2312"/>
          <w:color w:val="000000"/>
          <w:sz w:val="30"/>
          <w:szCs w:val="30"/>
        </w:rPr>
        <w:t>1</w:t>
      </w:r>
      <w:r>
        <w:rPr>
          <w:rFonts w:hint="eastAsia" w:ascii="仿宋_GB2312" w:hAnsi="微软雅黑" w:eastAsia="仿宋_GB2312"/>
          <w:color w:val="000000"/>
          <w:sz w:val="30"/>
          <w:szCs w:val="30"/>
          <w:lang w:val="en-US" w:eastAsia="zh-CN"/>
        </w:rPr>
        <w:t>.</w:t>
      </w:r>
      <w:r>
        <w:rPr>
          <w:rFonts w:hint="eastAsia" w:ascii="仿宋_GB2312" w:hAnsi="微软雅黑" w:eastAsia="仿宋_GB2312"/>
          <w:color w:val="000000"/>
          <w:sz w:val="30"/>
          <w:szCs w:val="30"/>
        </w:rPr>
        <w:t>7434万元</w:t>
      </w:r>
      <w:r>
        <w:rPr>
          <w:rFonts w:hint="eastAsia" w:ascii="仿宋_GB2312" w:hAnsi="微软雅黑" w:eastAsia="仿宋_GB2312"/>
          <w:sz w:val="30"/>
          <w:szCs w:val="30"/>
        </w:rPr>
        <w:t>。</w:t>
      </w:r>
    </w:p>
    <w:p>
      <w:pPr>
        <w:pStyle w:val="4"/>
        <w:numPr>
          <w:ilvl w:val="0"/>
          <w:numId w:val="2"/>
        </w:numPr>
        <w:shd w:val="clear" w:color="auto" w:fill="FFFFFF"/>
        <w:wordWrap w:val="0"/>
        <w:spacing w:beforeAutospacing="0" w:afterAutospacing="0" w:line="600" w:lineRule="exact"/>
        <w:ind w:firstLine="480"/>
        <w:jc w:val="both"/>
        <w:rPr>
          <w:rFonts w:hint="eastAsia" w:ascii="楷体" w:hAnsi="楷体" w:eastAsia="楷体" w:cs="楷体"/>
          <w:b/>
          <w:bCs/>
          <w:sz w:val="32"/>
          <w:szCs w:val="32"/>
        </w:rPr>
      </w:pPr>
      <w:r>
        <w:rPr>
          <w:rFonts w:hint="eastAsia" w:ascii="楷体" w:hAnsi="楷体" w:eastAsia="楷体" w:cs="楷体"/>
          <w:b/>
          <w:bCs/>
          <w:sz w:val="32"/>
          <w:szCs w:val="32"/>
        </w:rPr>
        <w:t>“三公”经费情况说明</w:t>
      </w:r>
    </w:p>
    <w:p>
      <w:pPr>
        <w:pStyle w:val="4"/>
        <w:shd w:val="clear" w:color="auto" w:fill="FFFFFF"/>
        <w:wordWrap w:val="0"/>
        <w:spacing w:beforeAutospacing="0" w:afterAutospacing="0" w:line="600" w:lineRule="exact"/>
        <w:ind w:firstLine="600"/>
        <w:jc w:val="both"/>
        <w:rPr>
          <w:rFonts w:hint="eastAsia" w:ascii="仿宋_GB2312" w:hAnsi="微软雅黑" w:eastAsia="仿宋_GB2312"/>
          <w:sz w:val="30"/>
          <w:szCs w:val="30"/>
          <w:lang w:eastAsia="zh-CN"/>
        </w:rPr>
      </w:pPr>
      <w:r>
        <w:rPr>
          <w:rFonts w:hint="eastAsia" w:ascii="仿宋_GB2312" w:hAnsi="微软雅黑" w:eastAsia="仿宋_GB2312"/>
          <w:sz w:val="30"/>
          <w:szCs w:val="30"/>
        </w:rPr>
        <w:t>河曲县委统战部2019年“三公”经费支出0万元</w:t>
      </w:r>
      <w:r>
        <w:rPr>
          <w:rFonts w:hint="eastAsia" w:ascii="仿宋_GB2312" w:hAnsi="微软雅黑" w:eastAsia="仿宋_GB2312"/>
          <w:sz w:val="30"/>
          <w:szCs w:val="30"/>
          <w:lang w:eastAsia="zh-CN"/>
        </w:rPr>
        <w:t>。</w:t>
      </w:r>
    </w:p>
    <w:p>
      <w:pPr>
        <w:pStyle w:val="4"/>
        <w:shd w:val="clear" w:color="auto" w:fill="FFFFFF"/>
        <w:wordWrap w:val="0"/>
        <w:spacing w:beforeAutospacing="0" w:afterAutospacing="0" w:line="600" w:lineRule="exact"/>
        <w:ind w:firstLine="643" w:firstLineChars="200"/>
        <w:jc w:val="both"/>
        <w:rPr>
          <w:rFonts w:hint="eastAsia" w:ascii="黑体" w:hAnsi="黑体" w:eastAsia="黑体" w:cs="黑体"/>
          <w:b/>
          <w:bCs/>
          <w:sz w:val="32"/>
          <w:szCs w:val="32"/>
        </w:rPr>
      </w:pPr>
      <w:r>
        <w:rPr>
          <w:rFonts w:hint="eastAsia" w:ascii="黑体" w:hAnsi="黑体" w:eastAsia="黑体" w:cs="黑体"/>
          <w:b/>
          <w:bCs/>
          <w:sz w:val="32"/>
          <w:szCs w:val="32"/>
        </w:rPr>
        <w:t>四、附件：</w:t>
      </w:r>
    </w:p>
    <w:p>
      <w:pPr>
        <w:pStyle w:val="4"/>
        <w:shd w:val="clear" w:color="auto" w:fill="FFFFFF"/>
        <w:wordWrap w:val="0"/>
        <w:spacing w:beforeAutospacing="0" w:afterAutospacing="0" w:line="600" w:lineRule="exact"/>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1、县委统战部2019年收入支出决算总表</w:t>
      </w:r>
    </w:p>
    <w:p>
      <w:pPr>
        <w:pStyle w:val="4"/>
        <w:shd w:val="clear" w:color="auto" w:fill="FFFFFF"/>
        <w:wordWrap w:val="0"/>
        <w:spacing w:beforeAutospacing="0" w:afterAutospacing="0" w:line="600" w:lineRule="exact"/>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2、财政拔款收入支出决算总表</w:t>
      </w:r>
    </w:p>
    <w:p>
      <w:pPr>
        <w:pStyle w:val="4"/>
        <w:shd w:val="clear" w:color="auto" w:fill="FFFFFF"/>
        <w:wordWrap w:val="0"/>
        <w:spacing w:beforeAutospacing="0" w:afterAutospacing="0" w:line="600" w:lineRule="exact"/>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3、收入支出决算表</w:t>
      </w:r>
    </w:p>
    <w:p>
      <w:pPr>
        <w:pStyle w:val="4"/>
        <w:shd w:val="clear" w:color="auto" w:fill="FFFFFF"/>
        <w:wordWrap w:val="0"/>
        <w:spacing w:beforeAutospacing="0" w:afterAutospacing="0" w:line="600" w:lineRule="exact"/>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4、收入决算表</w:t>
      </w:r>
    </w:p>
    <w:p>
      <w:pPr>
        <w:pStyle w:val="4"/>
        <w:shd w:val="clear" w:color="auto" w:fill="FFFFFF"/>
        <w:wordWrap w:val="0"/>
        <w:spacing w:beforeAutospacing="0" w:afterAutospacing="0" w:line="600" w:lineRule="exact"/>
        <w:ind w:firstLine="600" w:firstLineChars="200"/>
        <w:jc w:val="both"/>
        <w:rPr>
          <w:rFonts w:ascii="仿宋_GB2312" w:hAnsi="微软雅黑" w:eastAsia="仿宋_GB2312"/>
          <w:sz w:val="30"/>
          <w:szCs w:val="30"/>
        </w:rPr>
      </w:pPr>
      <w:r>
        <w:rPr>
          <w:rFonts w:hint="eastAsia" w:ascii="仿宋_GB2312" w:hAnsi="微软雅黑" w:eastAsia="仿宋_GB2312"/>
          <w:sz w:val="30"/>
          <w:szCs w:val="30"/>
        </w:rPr>
        <w:t>5、支出决算表</w:t>
      </w:r>
    </w:p>
    <w:p>
      <w:pPr>
        <w:pStyle w:val="4"/>
        <w:shd w:val="clear" w:color="auto" w:fill="FFFFFF"/>
        <w:wordWrap w:val="0"/>
        <w:spacing w:beforeAutospacing="0" w:afterAutospacing="0" w:line="600" w:lineRule="exact"/>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rPr>
        <w:t>6、支出决算明细表</w:t>
      </w:r>
    </w:p>
    <w:p>
      <w:pPr>
        <w:pStyle w:val="4"/>
        <w:shd w:val="clear" w:color="auto" w:fill="FFFFFF"/>
        <w:wordWrap w:val="0"/>
        <w:spacing w:beforeAutospacing="0" w:afterAutospacing="0" w:line="600" w:lineRule="exact"/>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lang w:val="en-US" w:eastAsia="zh-CN"/>
        </w:rPr>
        <w:t>7、</w:t>
      </w:r>
      <w:r>
        <w:rPr>
          <w:rFonts w:hint="eastAsia" w:ascii="仿宋_GB2312" w:hAnsi="微软雅黑" w:eastAsia="仿宋_GB2312"/>
          <w:sz w:val="30"/>
          <w:szCs w:val="30"/>
        </w:rPr>
        <w:t>基本支出决算明细表</w:t>
      </w:r>
    </w:p>
    <w:p>
      <w:pPr>
        <w:pStyle w:val="4"/>
        <w:shd w:val="clear" w:color="auto" w:fill="FFFFFF"/>
        <w:wordWrap w:val="0"/>
        <w:spacing w:beforeAutospacing="0" w:afterAutospacing="0" w:line="600" w:lineRule="exact"/>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lang w:val="en-US" w:eastAsia="zh-CN"/>
        </w:rPr>
        <w:t>8、</w:t>
      </w:r>
      <w:r>
        <w:rPr>
          <w:rFonts w:hint="eastAsia" w:ascii="仿宋_GB2312" w:hAnsi="微软雅黑" w:eastAsia="仿宋_GB2312"/>
          <w:sz w:val="30"/>
          <w:szCs w:val="30"/>
        </w:rPr>
        <w:t>项目支出决算明细表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lang w:val="en-US" w:eastAsia="zh-CN"/>
        </w:rPr>
      </w:pPr>
      <w:r>
        <w:rPr>
          <w:rFonts w:hint="eastAsia" w:ascii="仿宋_GB2312" w:hAnsi="微软雅黑" w:eastAsia="仿宋_GB2312"/>
          <w:sz w:val="30"/>
          <w:szCs w:val="30"/>
          <w:lang w:val="en-US" w:eastAsia="zh-CN"/>
        </w:rPr>
        <w:t>9、</w:t>
      </w:r>
      <w:r>
        <w:rPr>
          <w:rFonts w:hint="eastAsia" w:ascii="仿宋_GB2312" w:hAnsi="微软雅黑" w:eastAsia="仿宋_GB2312"/>
          <w:sz w:val="30"/>
          <w:szCs w:val="30"/>
        </w:rPr>
        <w:t>项目收入支出决算表</w:t>
      </w:r>
    </w:p>
    <w:p>
      <w:pPr>
        <w:pStyle w:val="4"/>
        <w:shd w:val="clear" w:color="auto" w:fill="FFFFFF"/>
        <w:wordWrap w:val="0"/>
        <w:spacing w:beforeAutospacing="0" w:afterAutospacing="0" w:line="600" w:lineRule="exact"/>
        <w:ind w:firstLine="600" w:firstLineChars="200"/>
        <w:jc w:val="both"/>
        <w:rPr>
          <w:rFonts w:ascii="仿宋_GB2312" w:hAnsi="微软雅黑" w:eastAsia="仿宋_GB2312"/>
          <w:sz w:val="30"/>
          <w:szCs w:val="30"/>
        </w:rPr>
      </w:pPr>
      <w:r>
        <w:rPr>
          <w:rFonts w:hint="eastAsia" w:ascii="仿宋_GB2312" w:hAnsi="微软雅黑" w:eastAsia="仿宋_GB2312"/>
          <w:sz w:val="30"/>
          <w:szCs w:val="30"/>
          <w:lang w:val="en-US" w:eastAsia="zh-CN"/>
        </w:rPr>
        <w:t>9、</w:t>
      </w:r>
      <w:r>
        <w:rPr>
          <w:rFonts w:hint="eastAsia" w:ascii="仿宋_GB2312" w:hAnsi="微软雅黑" w:eastAsia="仿宋_GB2312"/>
          <w:sz w:val="30"/>
          <w:szCs w:val="30"/>
        </w:rPr>
        <w:t>一般公共预算财政拔款收入支出决算表</w:t>
      </w:r>
    </w:p>
    <w:p>
      <w:pPr>
        <w:pStyle w:val="4"/>
        <w:shd w:val="clear" w:color="auto" w:fill="FFFFFF"/>
        <w:wordWrap w:val="0"/>
        <w:spacing w:beforeAutospacing="0" w:afterAutospacing="0" w:line="600" w:lineRule="exact"/>
        <w:ind w:firstLine="600" w:firstLineChars="200"/>
        <w:jc w:val="both"/>
        <w:rPr>
          <w:rFonts w:hint="eastAsia" w:ascii="仿宋_GB2312" w:hAnsi="微软雅黑" w:eastAsia="仿宋_GB2312"/>
          <w:sz w:val="30"/>
          <w:szCs w:val="30"/>
        </w:rPr>
      </w:pPr>
      <w:r>
        <w:rPr>
          <w:rFonts w:hint="eastAsia" w:ascii="仿宋_GB2312" w:hAnsi="微软雅黑" w:eastAsia="仿宋_GB2312"/>
          <w:sz w:val="30"/>
          <w:szCs w:val="30"/>
          <w:lang w:val="en-US" w:eastAsia="zh-CN"/>
        </w:rPr>
        <w:t>10</w:t>
      </w:r>
      <w:r>
        <w:rPr>
          <w:rFonts w:hint="eastAsia" w:ascii="仿宋_GB2312" w:hAnsi="微软雅黑" w:eastAsia="仿宋_GB2312"/>
          <w:sz w:val="30"/>
          <w:szCs w:val="30"/>
        </w:rPr>
        <w:t>、一般公共预算财政拔款支出决算明细表</w:t>
      </w:r>
    </w:p>
    <w:p>
      <w:pPr>
        <w:pStyle w:val="4"/>
        <w:shd w:val="clear" w:color="auto" w:fill="FFFFFF"/>
        <w:wordWrap w:val="0"/>
        <w:spacing w:beforeAutospacing="0" w:afterAutospacing="0" w:line="600" w:lineRule="exact"/>
        <w:ind w:firstLine="600" w:firstLineChars="200"/>
        <w:jc w:val="both"/>
        <w:rPr>
          <w:rFonts w:hint="eastAsia" w:ascii="仿宋_GB2312" w:hAnsi="微软雅黑" w:eastAsia="仿宋_GB2312"/>
          <w:sz w:val="30"/>
          <w:szCs w:val="30"/>
          <w:lang w:val="en-US" w:eastAsia="zh-CN"/>
        </w:rPr>
      </w:pPr>
      <w:r>
        <w:rPr>
          <w:rFonts w:hint="eastAsia" w:ascii="仿宋_GB2312" w:hAnsi="微软雅黑" w:eastAsia="仿宋_GB2312"/>
          <w:sz w:val="30"/>
          <w:szCs w:val="30"/>
          <w:lang w:val="en-US" w:eastAsia="zh-CN"/>
        </w:rPr>
        <w:t>11、</w:t>
      </w:r>
      <w:r>
        <w:rPr>
          <w:rFonts w:hint="eastAsia" w:ascii="仿宋_GB2312" w:hAnsi="微软雅黑" w:eastAsia="仿宋_GB2312"/>
          <w:sz w:val="30"/>
          <w:szCs w:val="30"/>
        </w:rPr>
        <w:t>一般公共预算财政拨款基本支出决算明细表</w:t>
      </w:r>
    </w:p>
    <w:p>
      <w:pPr>
        <w:pStyle w:val="4"/>
        <w:shd w:val="clear" w:color="auto" w:fill="FFFFFF"/>
        <w:wordWrap w:val="0"/>
        <w:spacing w:beforeAutospacing="0" w:afterAutospacing="0" w:line="600" w:lineRule="exact"/>
        <w:ind w:firstLine="600" w:firstLineChars="200"/>
        <w:jc w:val="both"/>
        <w:rPr>
          <w:rFonts w:hint="eastAsia" w:ascii="仿宋_GB2312" w:hAnsi="微软雅黑" w:eastAsia="仿宋_GB2312"/>
          <w:sz w:val="30"/>
          <w:szCs w:val="30"/>
          <w:lang w:val="en-US" w:eastAsia="zh-CN"/>
        </w:rPr>
      </w:pPr>
      <w:r>
        <w:rPr>
          <w:rFonts w:hint="eastAsia" w:ascii="仿宋_GB2312" w:hAnsi="微软雅黑" w:eastAsia="仿宋_GB2312"/>
          <w:sz w:val="30"/>
          <w:szCs w:val="30"/>
          <w:lang w:val="en-US" w:eastAsia="zh-CN"/>
        </w:rPr>
        <w:t>12、</w:t>
      </w:r>
      <w:r>
        <w:rPr>
          <w:rFonts w:hint="eastAsia" w:ascii="仿宋_GB2312" w:hAnsi="微软雅黑" w:eastAsia="仿宋_GB2312"/>
          <w:sz w:val="30"/>
          <w:szCs w:val="30"/>
        </w:rPr>
        <w:t>一般公共预算财政拨款项目支出决算明细表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lang w:val="en-US" w:eastAsia="zh-CN"/>
        </w:rPr>
      </w:pPr>
      <w:r>
        <w:rPr>
          <w:rFonts w:hint="eastAsia" w:ascii="仿宋_GB2312" w:hAnsi="微软雅黑" w:eastAsia="仿宋_GB2312"/>
          <w:sz w:val="30"/>
          <w:szCs w:val="30"/>
          <w:lang w:val="en-US" w:eastAsia="zh-CN"/>
        </w:rPr>
        <w:t>13、</w:t>
      </w:r>
      <w:r>
        <w:rPr>
          <w:rFonts w:hint="eastAsia" w:ascii="仿宋_GB2312" w:hAnsi="微软雅黑" w:eastAsia="仿宋_GB2312"/>
          <w:sz w:val="30"/>
          <w:szCs w:val="30"/>
        </w:rPr>
        <w:t>预算支出相关信息表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lang w:val="en-US" w:eastAsia="zh-CN"/>
        </w:rPr>
      </w:pPr>
      <w:r>
        <w:rPr>
          <w:rFonts w:hint="eastAsia" w:ascii="仿宋_GB2312" w:hAnsi="微软雅黑" w:eastAsia="仿宋_GB2312"/>
          <w:sz w:val="30"/>
          <w:szCs w:val="30"/>
          <w:lang w:val="en-US" w:eastAsia="zh-CN"/>
        </w:rPr>
        <w:t>14、</w:t>
      </w:r>
      <w:r>
        <w:rPr>
          <w:rFonts w:hint="eastAsia" w:ascii="仿宋_GB2312" w:hAnsi="微软雅黑" w:eastAsia="仿宋_GB2312"/>
          <w:sz w:val="30"/>
          <w:szCs w:val="30"/>
        </w:rPr>
        <w:t>基本数字表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lang w:val="en-US" w:eastAsia="zh-CN"/>
        </w:rPr>
      </w:pPr>
      <w:r>
        <w:rPr>
          <w:rFonts w:hint="eastAsia" w:ascii="仿宋_GB2312" w:hAnsi="微软雅黑" w:eastAsia="仿宋_GB2312"/>
          <w:sz w:val="30"/>
          <w:szCs w:val="30"/>
          <w:lang w:val="en-US" w:eastAsia="zh-CN"/>
        </w:rPr>
        <w:t>15、</w:t>
      </w:r>
      <w:r>
        <w:rPr>
          <w:rFonts w:hint="eastAsia" w:ascii="仿宋_GB2312" w:hAnsi="微软雅黑" w:eastAsia="仿宋_GB2312"/>
          <w:sz w:val="30"/>
          <w:szCs w:val="30"/>
        </w:rPr>
        <w:t>机构运行信息表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lang w:val="en-US" w:eastAsia="zh-CN"/>
        </w:rPr>
      </w:pPr>
      <w:r>
        <w:rPr>
          <w:rFonts w:hint="eastAsia" w:ascii="仿宋_GB2312" w:hAnsi="微软雅黑" w:eastAsia="仿宋_GB2312"/>
          <w:sz w:val="30"/>
          <w:szCs w:val="30"/>
          <w:lang w:val="en-US" w:eastAsia="zh-CN"/>
        </w:rPr>
        <w:t>16、</w:t>
      </w:r>
      <w:r>
        <w:rPr>
          <w:rFonts w:hint="eastAsia" w:ascii="仿宋_GB2312" w:hAnsi="微软雅黑" w:eastAsia="仿宋_GB2312"/>
          <w:sz w:val="30"/>
          <w:szCs w:val="30"/>
        </w:rPr>
        <w:t>主要指标变动情况表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highlight w:val="none"/>
          <w:lang w:val="en-US" w:eastAsia="zh-CN"/>
        </w:rPr>
      </w:pPr>
      <w:r>
        <w:rPr>
          <w:rFonts w:hint="eastAsia" w:ascii="仿宋_GB2312" w:hAnsi="微软雅黑" w:eastAsia="仿宋_GB2312"/>
          <w:sz w:val="30"/>
          <w:szCs w:val="30"/>
          <w:lang w:val="en-US" w:eastAsia="zh-CN"/>
        </w:rPr>
        <w:t>17、</w:t>
      </w:r>
      <w:r>
        <w:rPr>
          <w:rFonts w:hint="eastAsia" w:ascii="仿宋_GB2312" w:hAnsi="微软雅黑" w:eastAsia="仿宋_GB2312"/>
          <w:sz w:val="30"/>
          <w:szCs w:val="30"/>
        </w:rPr>
        <w:t>资产负债简表</w:t>
      </w:r>
    </w:p>
    <w:p>
      <w:pPr>
        <w:pStyle w:val="4"/>
        <w:shd w:val="clear" w:color="auto" w:fill="FFFFFF"/>
        <w:wordWrap w:val="0"/>
        <w:spacing w:beforeAutospacing="0" w:afterAutospacing="0" w:line="600" w:lineRule="exact"/>
        <w:ind w:firstLine="600" w:firstLineChars="200"/>
        <w:jc w:val="both"/>
        <w:rPr>
          <w:rFonts w:hint="default" w:ascii="仿宋_GB2312" w:hAnsi="微软雅黑" w:eastAsia="仿宋_GB2312"/>
          <w:sz w:val="30"/>
          <w:szCs w:val="30"/>
          <w:lang w:val="en-US" w:eastAsia="zh-CN"/>
        </w:rPr>
      </w:pPr>
      <w:r>
        <w:rPr>
          <w:rFonts w:hint="eastAsia" w:ascii="仿宋_GB2312" w:hAnsi="微软雅黑" w:eastAsia="仿宋_GB2312"/>
          <w:sz w:val="30"/>
          <w:szCs w:val="30"/>
          <w:lang w:val="en-US" w:eastAsia="zh-CN"/>
        </w:rPr>
        <w:t>18、</w:t>
      </w:r>
      <w:r>
        <w:rPr>
          <w:rFonts w:hint="eastAsia" w:ascii="仿宋_GB2312" w:hAnsi="微软雅黑" w:eastAsia="仿宋_GB2312"/>
          <w:sz w:val="30"/>
          <w:szCs w:val="30"/>
        </w:rPr>
        <w:t>部门决算量化评价表</w:t>
      </w:r>
    </w:p>
    <w:p>
      <w:pPr>
        <w:pStyle w:val="4"/>
        <w:shd w:val="clear" w:color="auto" w:fill="FFFFFF"/>
        <w:wordWrap w:val="0"/>
        <w:spacing w:beforeAutospacing="0" w:afterAutospacing="0" w:line="600" w:lineRule="exact"/>
        <w:ind w:left="480"/>
        <w:jc w:val="both"/>
        <w:rPr>
          <w:rFonts w:ascii="仿宋_GB2312" w:hAnsi="微软雅黑" w:eastAsia="仿宋_GB2312"/>
          <w:sz w:val="30"/>
          <w:szCs w:val="30"/>
        </w:rPr>
      </w:pPr>
    </w:p>
    <w:p>
      <w:pPr>
        <w:pStyle w:val="4"/>
        <w:shd w:val="clear" w:color="auto" w:fill="FFFFFF"/>
        <w:wordWrap w:val="0"/>
        <w:spacing w:beforeAutospacing="0" w:afterAutospacing="0"/>
        <w:ind w:firstLine="480"/>
        <w:jc w:val="right"/>
      </w:pPr>
      <w:r>
        <w:rPr>
          <w:rFonts w:hint="eastAsia"/>
        </w:rPr>
        <w:t xml:space="preserve">                                </w:t>
      </w:r>
    </w:p>
    <w:p>
      <w:pPr>
        <w:pStyle w:val="4"/>
        <w:shd w:val="clear" w:color="auto" w:fill="FFFFFF"/>
        <w:wordWrap w:val="0"/>
        <w:spacing w:beforeAutospacing="0" w:afterAutospacing="0"/>
        <w:ind w:firstLine="480"/>
        <w:jc w:val="center"/>
        <w:rPr>
          <w:rFonts w:hint="eastAsia" w:ascii="仿宋_GB2312" w:hAnsi="微软雅黑" w:eastAsia="仿宋_GB2312"/>
          <w:sz w:val="30"/>
          <w:szCs w:val="30"/>
          <w:lang w:val="en-US" w:eastAsia="zh-CN"/>
        </w:rPr>
      </w:pPr>
      <w:r>
        <w:rPr>
          <w:rFonts w:hint="eastAsia"/>
        </w:rPr>
        <w:t xml:space="preserve">                               </w:t>
      </w:r>
      <w:r>
        <w:rPr>
          <w:rFonts w:hint="eastAsia"/>
          <w:lang w:val="en-US" w:eastAsia="zh-CN"/>
        </w:rPr>
        <w:t xml:space="preserve">  </w:t>
      </w:r>
      <w:r>
        <w:rPr>
          <w:rFonts w:hint="eastAsia"/>
        </w:rPr>
        <w:t xml:space="preserve">    </w:t>
      </w:r>
      <w:r>
        <w:rPr>
          <w:rFonts w:hint="eastAsia" w:ascii="仿宋_GB2312" w:hAnsi="微软雅黑" w:eastAsia="仿宋_GB2312"/>
          <w:sz w:val="30"/>
          <w:szCs w:val="30"/>
        </w:rPr>
        <w:t xml:space="preserve">  中共河曲县委统战部</w:t>
      </w:r>
      <w:r>
        <w:rPr>
          <w:rFonts w:hint="eastAsia" w:ascii="仿宋_GB2312" w:hAnsi="微软雅黑" w:eastAsia="仿宋_GB2312"/>
          <w:sz w:val="30"/>
          <w:szCs w:val="30"/>
          <w:lang w:val="en-US" w:eastAsia="zh-CN"/>
        </w:rPr>
        <w:t xml:space="preserve">  </w:t>
      </w:r>
    </w:p>
    <w:p>
      <w:pPr>
        <w:pStyle w:val="4"/>
        <w:shd w:val="clear" w:color="auto" w:fill="FFFFFF"/>
        <w:wordWrap w:val="0"/>
        <w:spacing w:beforeAutospacing="0" w:afterAutospacing="0"/>
        <w:ind w:firstLine="480"/>
        <w:jc w:val="right"/>
        <w:rPr>
          <w:rFonts w:hint="eastAsia" w:eastAsia="仿宋_GB2312"/>
          <w:lang w:val="en-US" w:eastAsia="zh-CN"/>
        </w:rPr>
      </w:pPr>
      <w:r>
        <w:rPr>
          <w:rFonts w:hint="eastAsia" w:ascii="仿宋_GB2312" w:hAnsi="微软雅黑" w:eastAsia="仿宋_GB2312"/>
          <w:sz w:val="30"/>
          <w:szCs w:val="30"/>
        </w:rPr>
        <w:t xml:space="preserve">       2020年5月26日</w:t>
      </w:r>
      <w:r>
        <w:rPr>
          <w:rFonts w:hint="eastAsia" w:ascii="仿宋_GB2312" w:hAnsi="微软雅黑" w:eastAsia="仿宋_GB2312"/>
          <w:sz w:val="30"/>
          <w:szCs w:val="30"/>
          <w:lang w:val="en-US" w:eastAsia="zh-CN"/>
        </w:rPr>
        <w:t xml:space="preserve">    </w:t>
      </w:r>
    </w:p>
    <w:sectPr>
      <w:footerReference r:id="rId3" w:type="default"/>
      <w:pgSz w:w="11906" w:h="16838"/>
      <w:pgMar w:top="1984" w:right="1701" w:bottom="170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xxBJMb4BAABfAwAADgAAAAAAAAABACAAAAAeAQAAZHJzL2Uyb0RvYy54bWxQSwUGAAAA&#10;AAYABgBZAQAATgUAAAAA&#10;">
          <v:path/>
          <v:fill on="f" focussize="0,0"/>
          <v:stroke on="f" joinstyle="miter"/>
          <v:imagedata o:title=""/>
          <o:lock v:ext="edit"/>
          <v:textbox inset="0mm,0mm,0mm,0mm" style="mso-fit-shape-to-text:t;">
            <w:txbxContent>
              <w:p>
                <w:pPr>
                  <w:snapToGrid w:val="0"/>
                  <w:rPr>
                    <w:sz w:val="32"/>
                    <w:szCs w:val="48"/>
                  </w:rPr>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hint="eastAsia" w:ascii="仿宋" w:hAnsi="仿宋" w:eastAsia="仿宋" w:cs="仿宋"/>
                    <w:sz w:val="36"/>
                    <w:szCs w:val="44"/>
                  </w:rPr>
                  <w:t>3</w:t>
                </w:r>
                <w:r>
                  <w:rPr>
                    <w:rFonts w:hint="eastAsia" w:ascii="仿宋" w:hAnsi="仿宋" w:eastAsia="仿宋" w:cs="仿宋"/>
                    <w:sz w:val="28"/>
                    <w:szCs w:val="4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BED9A"/>
    <w:multiLevelType w:val="singleLevel"/>
    <w:tmpl w:val="57DBED9A"/>
    <w:lvl w:ilvl="0" w:tentative="0">
      <w:start w:val="2"/>
      <w:numFmt w:val="chineseCounting"/>
      <w:suff w:val="nothing"/>
      <w:lvlText w:val="（%1）"/>
      <w:lvlJc w:val="left"/>
    </w:lvl>
  </w:abstractNum>
  <w:abstractNum w:abstractNumId="1">
    <w:nsid w:val="57DBEEB5"/>
    <w:multiLevelType w:val="singleLevel"/>
    <w:tmpl w:val="57DBEEB5"/>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E1138"/>
    <w:rsid w:val="004565CD"/>
    <w:rsid w:val="00715D11"/>
    <w:rsid w:val="00B73AE9"/>
    <w:rsid w:val="00EC1F0E"/>
    <w:rsid w:val="05161195"/>
    <w:rsid w:val="071D2864"/>
    <w:rsid w:val="078D72D7"/>
    <w:rsid w:val="087E6486"/>
    <w:rsid w:val="162D5F65"/>
    <w:rsid w:val="1AF3741B"/>
    <w:rsid w:val="1C9522A3"/>
    <w:rsid w:val="240A69D1"/>
    <w:rsid w:val="241F32DD"/>
    <w:rsid w:val="25B52BBC"/>
    <w:rsid w:val="25EB4B7C"/>
    <w:rsid w:val="29397804"/>
    <w:rsid w:val="2FAE409C"/>
    <w:rsid w:val="3FA05650"/>
    <w:rsid w:val="411F3C2D"/>
    <w:rsid w:val="456C4C02"/>
    <w:rsid w:val="494D49D2"/>
    <w:rsid w:val="4D425D57"/>
    <w:rsid w:val="4DBE4C09"/>
    <w:rsid w:val="571A4441"/>
    <w:rsid w:val="574A121E"/>
    <w:rsid w:val="579D232B"/>
    <w:rsid w:val="57AC6E23"/>
    <w:rsid w:val="58F10489"/>
    <w:rsid w:val="59E821D3"/>
    <w:rsid w:val="5F156650"/>
    <w:rsid w:val="6416102A"/>
    <w:rsid w:val="659F313F"/>
    <w:rsid w:val="73A03CE2"/>
    <w:rsid w:val="761C46DF"/>
    <w:rsid w:val="780B5946"/>
    <w:rsid w:val="78C81BA2"/>
    <w:rsid w:val="7E62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4">
    <w:name w:val="Normal (Web)"/>
    <w:basedOn w:val="1"/>
    <w:qFormat/>
    <w:uiPriority w:val="0"/>
    <w:pPr>
      <w:widowControl/>
      <w:spacing w:beforeAutospacing="1" w:afterAutospacing="1"/>
      <w:jc w:val="left"/>
    </w:pPr>
    <w:rPr>
      <w:rFonts w:ascii="宋体" w:hAnsi="宋体" w:cs="宋体"/>
      <w:kern w:val="0"/>
      <w:sz w:val="24"/>
    </w:rPr>
  </w:style>
  <w:style w:type="character" w:styleId="6">
    <w:name w:val="Strong"/>
    <w:basedOn w:val="5"/>
    <w:qFormat/>
    <w:uiPriority w:val="0"/>
    <w:rPr>
      <w:b/>
      <w:bCs/>
    </w:rPr>
  </w:style>
  <w:style w:type="character" w:styleId="7">
    <w:name w:val="Hyperlink"/>
    <w:basedOn w:val="5"/>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5</Pages>
  <Words>306</Words>
  <Characters>1749</Characters>
  <Lines>14</Lines>
  <Paragraphs>4</Paragraphs>
  <TotalTime>12</TotalTime>
  <ScaleCrop>false</ScaleCrop>
  <LinksUpToDate>false</LinksUpToDate>
  <CharactersWithSpaces>2051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2016-09-08T14:31:00Z</dcterms:created>
  <dc:creator>User</dc:creator>
  <cp:lastModifiedBy>小渔</cp:lastModifiedBy>
  <cp:lastPrinted>2019-03-28T10:29:00Z</cp:lastPrinted>
  <dcterms:modified xsi:type="dcterms:W3CDTF">2020-06-04T11:08:07Z</dcterms:modified>
  <dc:title> </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